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44"/>
          <w:szCs w:val="44"/>
        </w:rPr>
      </w:pPr>
    </w:p>
    <w:p>
      <w:pPr>
        <w:spacing w:line="440" w:lineRule="exact"/>
        <w:jc w:val="center"/>
        <w:rPr>
          <w:rFonts w:ascii="宋体" w:hAnsi="宋体" w:cs="宋体"/>
          <w:b/>
          <w:bCs/>
          <w:sz w:val="44"/>
          <w:szCs w:val="44"/>
        </w:rPr>
      </w:pPr>
    </w:p>
    <w:p>
      <w:pPr>
        <w:spacing w:line="560" w:lineRule="exact"/>
        <w:jc w:val="center"/>
        <w:rPr>
          <w:rFonts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陕西省农林水利气象工会委员会</w:t>
      </w:r>
    </w:p>
    <w:p>
      <w:pPr>
        <w:spacing w:line="560" w:lineRule="exact"/>
        <w:jc w:val="center"/>
        <w:rPr>
          <w:rFonts w:asciiTheme="majorEastAsia" w:hAnsiTheme="majorEastAsia" w:eastAsiaTheme="majorEastAsia" w:cstheme="majorEastAsia"/>
          <w:b/>
          <w:bCs/>
          <w:sz w:val="44"/>
          <w:szCs w:val="44"/>
        </w:rPr>
      </w:pPr>
      <w:r>
        <w:rPr>
          <w:rFonts w:hint="eastAsia" w:ascii="方正小标宋简体" w:hAnsi="方正小标宋简体" w:eastAsia="方正小标宋简体" w:cs="方正小标宋简体"/>
          <w:sz w:val="48"/>
          <w:szCs w:val="48"/>
        </w:rPr>
        <w:t>2020年部门决算</w:t>
      </w: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jc w:val="center"/>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560" w:lineRule="exact"/>
        <w:rPr>
          <w:rFonts w:asciiTheme="majorEastAsia" w:hAnsiTheme="majorEastAsia" w:eastAsiaTheme="majorEastAsia" w:cstheme="majorEastAsia"/>
          <w:b/>
          <w:bCs/>
          <w:sz w:val="44"/>
          <w:szCs w:val="44"/>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570" w:firstLineChars="800"/>
        <w:rPr>
          <w:rFonts w:asciiTheme="majorEastAsia" w:hAnsiTheme="majorEastAsia" w:eastAsiaTheme="majorEastAsia" w:cstheme="majorEastAsia"/>
          <w:b/>
          <w:bCs/>
          <w:sz w:val="32"/>
          <w:szCs w:val="32"/>
        </w:rPr>
      </w:pPr>
    </w:p>
    <w:p>
      <w:pPr>
        <w:spacing w:line="400" w:lineRule="exact"/>
        <w:ind w:firstLine="2088" w:firstLineChars="650"/>
        <w:rPr>
          <w:rFonts w:asciiTheme="majorEastAsia" w:hAnsiTheme="majorEastAsia" w:eastAsiaTheme="majorEastAsia" w:cstheme="majorEastAsia"/>
          <w:b/>
          <w:bCs/>
          <w:sz w:val="32"/>
          <w:szCs w:val="32"/>
        </w:rPr>
      </w:pPr>
      <w:r>
        <w:rPr>
          <w:rFonts w:hint="eastAsia" w:asciiTheme="majorEastAsia" w:hAnsiTheme="majorEastAsia" w:eastAsiaTheme="majorEastAsia" w:cstheme="majorEastAsia"/>
          <w:b/>
          <w:bCs/>
          <w:sz w:val="32"/>
          <w:szCs w:val="32"/>
        </w:rPr>
        <w:t>保密审查情况：已审查</w:t>
      </w:r>
    </w:p>
    <w:p>
      <w:pPr>
        <w:spacing w:line="400" w:lineRule="exact"/>
        <w:jc w:val="center"/>
        <w:rPr>
          <w:rFonts w:ascii="宋体" w:hAnsi="宋体" w:cs="宋体"/>
          <w:b/>
          <w:bCs/>
          <w:sz w:val="32"/>
          <w:szCs w:val="32"/>
        </w:rPr>
      </w:pPr>
    </w:p>
    <w:p>
      <w:pPr>
        <w:spacing w:line="400" w:lineRule="exact"/>
        <w:ind w:firstLine="2088" w:firstLineChars="650"/>
        <w:rPr>
          <w:rFonts w:ascii="宋体" w:hAnsi="宋体" w:cs="宋体"/>
          <w:b/>
          <w:bCs/>
          <w:sz w:val="32"/>
          <w:szCs w:val="32"/>
        </w:rPr>
      </w:pPr>
      <w:r>
        <w:rPr>
          <w:rFonts w:hint="eastAsia" w:ascii="宋体" w:hAnsi="宋体" w:cs="宋体"/>
          <w:b/>
          <w:bCs/>
          <w:sz w:val="32"/>
          <w:szCs w:val="32"/>
        </w:rPr>
        <w:t>部门主要负责人审签情况：已审签</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spacing w:line="400" w:lineRule="exact"/>
        <w:rPr>
          <w:rFonts w:ascii="宋体" w:hAnsi="宋体" w:cs="宋体"/>
          <w:b/>
          <w:bCs/>
          <w:sz w:val="32"/>
          <w:szCs w:val="32"/>
        </w:rPr>
      </w:pPr>
      <w:r>
        <w:rPr>
          <w:rFonts w:hint="eastAsia" w:ascii="宋体" w:hAnsi="宋体" w:cs="宋体"/>
          <w:b/>
          <w:bCs/>
          <w:sz w:val="32"/>
          <w:szCs w:val="32"/>
        </w:rPr>
        <w:t xml:space="preserve"> </w:t>
      </w:r>
      <w:r>
        <w:rPr>
          <w:rFonts w:ascii="宋体" w:hAnsi="宋体" w:cs="宋体"/>
          <w:b/>
          <w:bCs/>
          <w:sz w:val="32"/>
          <w:szCs w:val="32"/>
        </w:rPr>
        <w:t xml:space="preserve">               </w:t>
      </w:r>
    </w:p>
    <w:p>
      <w:pPr>
        <w:jc w:val="center"/>
        <w:rPr>
          <w:rFonts w:ascii="黑体" w:hAnsi="宋体" w:eastAsia="黑体"/>
          <w:bCs/>
          <w:color w:val="000000"/>
          <w:kern w:val="0"/>
          <w:sz w:val="36"/>
          <w:szCs w:val="36"/>
          <w:lang w:bidi="ar"/>
        </w:rPr>
        <w:sectPr>
          <w:footerReference r:id="rId3" w:type="default"/>
          <w:pgSz w:w="11906" w:h="16838"/>
          <w:pgMar w:top="2098" w:right="1474" w:bottom="1984" w:left="1587" w:header="851" w:footer="992" w:gutter="0"/>
          <w:cols w:space="0" w:num="1"/>
          <w:docGrid w:type="lines" w:linePitch="315" w:charSpace="0"/>
        </w:sectPr>
      </w:pPr>
    </w:p>
    <w:p>
      <w:pPr>
        <w:jc w:val="center"/>
        <w:rPr>
          <w:rFonts w:ascii="黑体" w:hAnsi="宋体" w:eastAsia="黑体"/>
          <w:bCs/>
          <w:color w:val="000000"/>
          <w:kern w:val="0"/>
          <w:sz w:val="36"/>
          <w:szCs w:val="36"/>
          <w:lang w:bidi="ar"/>
        </w:rPr>
      </w:pPr>
      <w:r>
        <w:rPr>
          <w:rFonts w:ascii="黑体" w:hAnsi="宋体" w:eastAsia="黑体"/>
          <w:bCs/>
          <w:color w:val="000000"/>
          <w:kern w:val="0"/>
          <w:sz w:val="36"/>
          <w:szCs w:val="36"/>
          <w:lang w:bidi="ar"/>
        </w:rPr>
        <w:t>目</w:t>
      </w:r>
      <w:r>
        <w:rPr>
          <w:rFonts w:hint="eastAsia" w:ascii="黑体" w:hAnsi="宋体" w:eastAsia="黑体"/>
          <w:bCs/>
          <w:color w:val="000000"/>
          <w:kern w:val="0"/>
          <w:sz w:val="36"/>
          <w:szCs w:val="36"/>
          <w:lang w:bidi="ar"/>
        </w:rPr>
        <w:t xml:space="preserve">  </w:t>
      </w:r>
      <w:r>
        <w:rPr>
          <w:rFonts w:ascii="黑体" w:hAnsi="宋体" w:eastAsia="黑体"/>
          <w:bCs/>
          <w:color w:val="000000"/>
          <w:kern w:val="0"/>
          <w:sz w:val="36"/>
          <w:szCs w:val="36"/>
          <w:lang w:bidi="ar"/>
        </w:rPr>
        <w:t>录</w:t>
      </w:r>
    </w:p>
    <w:p>
      <w:pPr>
        <w:widowControl/>
        <w:jc w:val="center"/>
        <w:rPr>
          <w:rFonts w:ascii="方正小标宋简体" w:hAnsi="方正小标宋简体" w:eastAsia="方正小标宋简体" w:cs="方正小标宋简体"/>
        </w:rPr>
      </w:pPr>
      <w:r>
        <w:rPr>
          <w:rFonts w:hint="eastAsia" w:ascii="方正小标宋简体" w:hAnsi="方正小标宋简体" w:eastAsia="方正小标宋简体" w:cs="方正小标宋简体"/>
          <w:color w:val="000000"/>
          <w:kern w:val="0"/>
          <w:sz w:val="32"/>
          <w:szCs w:val="32"/>
          <w:lang w:bidi="ar"/>
        </w:rPr>
        <w:t>第一部分  部门概况</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一、部门主要职责及内设机构</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二、部门决算单位构成</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三、部门人员情况</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第二部分  2020年部门决算表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四、财政拨款收入支出决算总表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六、一般公共预算财政拨款基本支出决算表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七、一般公共预算财政拨款“三公”经费及会议费、培训费支出决算表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八、政府性基金预算财政拨款收入支出决算表</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九、国有资本经营预算财政拨款支出决算表</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第三部分  2020年部门决算情况说明</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一、收入支出决算总体情况说明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二、收入决算情况说明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三、支出决算情况说明    </w:t>
      </w:r>
    </w:p>
    <w:p>
      <w:pPr>
        <w:widowControl/>
        <w:jc w:val="left"/>
        <w:rPr>
          <w:rFonts w:ascii="楷体" w:hAnsi="楷体" w:eastAsia="楷体" w:cs="楷体"/>
        </w:rPr>
      </w:pPr>
      <w:r>
        <w:rPr>
          <w:rFonts w:hint="eastAsia" w:ascii="仿宋" w:hAnsi="仿宋" w:eastAsia="仿宋" w:cs="楷体"/>
          <w:color w:val="000000"/>
          <w:kern w:val="0"/>
          <w:sz w:val="32"/>
          <w:szCs w:val="32"/>
          <w:lang w:bidi="ar"/>
        </w:rPr>
        <w:t xml:space="preserve">四、财政拨款收入支出决算总体情况说明   </w:t>
      </w:r>
      <w:r>
        <w:rPr>
          <w:rFonts w:hint="eastAsia" w:ascii="楷体" w:hAnsi="楷体" w:eastAsia="楷体" w:cs="楷体"/>
          <w:color w:val="000000"/>
          <w:kern w:val="0"/>
          <w:sz w:val="32"/>
          <w:szCs w:val="32"/>
          <w:lang w:bidi="ar"/>
        </w:rPr>
        <w:t xml:space="preserve">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五、一般公共预算财政拨款支出决算情况说明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六、一般公共预算财政拨款基本支出决算情况说明   </w:t>
      </w:r>
    </w:p>
    <w:p>
      <w:pPr>
        <w:widowControl/>
        <w:ind w:left="640" w:hanging="640" w:hangingChars="200"/>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七、一般公共预算财政拨款“三公”经费及会议费、培训费支出决算情况说明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八、政府性基金预算财政拨款收入支出情况说明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九、国有资本经营财政拨款收入支出情况说明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十、机关运行经费支出情况说明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十一、政府采购支出情况说明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十二、国有资产占用及购置情况说明 </w:t>
      </w:r>
    </w:p>
    <w:p>
      <w:pPr>
        <w:widowControl/>
        <w:jc w:val="left"/>
        <w:rPr>
          <w:rFonts w:ascii="仿宋" w:hAnsi="仿宋" w:eastAsia="仿宋" w:cs="楷体"/>
          <w:color w:val="000000"/>
          <w:kern w:val="0"/>
          <w:sz w:val="32"/>
          <w:szCs w:val="32"/>
          <w:lang w:bidi="ar"/>
        </w:rPr>
      </w:pPr>
      <w:r>
        <w:rPr>
          <w:rFonts w:hint="eastAsia" w:ascii="仿宋" w:hAnsi="仿宋" w:eastAsia="仿宋" w:cs="楷体"/>
          <w:color w:val="000000"/>
          <w:kern w:val="0"/>
          <w:sz w:val="32"/>
          <w:szCs w:val="32"/>
          <w:lang w:bidi="ar"/>
        </w:rPr>
        <w:t xml:space="preserve">十三、预算绩效情况说明 </w:t>
      </w:r>
    </w:p>
    <w:p>
      <w:pPr>
        <w:widowControl/>
        <w:jc w:val="center"/>
        <w:rPr>
          <w:rFonts w:ascii="方正小标宋简体" w:hAnsi="方正小标宋简体" w:eastAsia="方正小标宋简体" w:cs="方正小标宋简体"/>
          <w:color w:val="000000"/>
          <w:kern w:val="0"/>
          <w:sz w:val="32"/>
          <w:szCs w:val="32"/>
          <w:lang w:bidi="ar"/>
        </w:rPr>
      </w:pPr>
      <w:r>
        <w:rPr>
          <w:rFonts w:hint="eastAsia" w:ascii="方正小标宋简体" w:hAnsi="方正小标宋简体" w:eastAsia="方正小标宋简体" w:cs="方正小标宋简体"/>
          <w:color w:val="000000"/>
          <w:kern w:val="0"/>
          <w:sz w:val="32"/>
          <w:szCs w:val="32"/>
          <w:lang w:bidi="ar"/>
        </w:rPr>
        <w:t>第四部分 专业名词解释</w:t>
      </w: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hint="eastAsia" w:ascii="黑体" w:hAnsi="宋体" w:eastAsia="黑体"/>
          <w:color w:val="000000"/>
          <w:kern w:val="0"/>
          <w:sz w:val="44"/>
          <w:szCs w:val="44"/>
          <w:lang w:eastAsia="zh-CN" w:bidi="ar"/>
        </w:rPr>
      </w:pPr>
      <w:bookmarkStart w:id="0" w:name="_GoBack"/>
      <w:bookmarkEnd w:id="0"/>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黑体" w:hAnsi="宋体" w:eastAsia="黑体"/>
          <w:color w:val="000000"/>
          <w:kern w:val="0"/>
          <w:sz w:val="44"/>
          <w:szCs w:val="44"/>
          <w:lang w:bidi="ar"/>
        </w:rPr>
      </w:pPr>
    </w:p>
    <w:p>
      <w:pPr>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第一部分 部门概况</w:t>
      </w:r>
    </w:p>
    <w:p>
      <w:pPr>
        <w:widowControl/>
        <w:ind w:firstLine="640" w:firstLineChars="200"/>
        <w:jc w:val="left"/>
        <w:rPr>
          <w:rFonts w:ascii="黑体" w:hAnsi="宋体" w:eastAsia="黑体"/>
          <w:color w:val="000000"/>
          <w:kern w:val="0"/>
          <w:sz w:val="32"/>
          <w:szCs w:val="32"/>
          <w:lang w:bidi="ar"/>
        </w:rPr>
      </w:pPr>
      <w:r>
        <w:rPr>
          <w:rFonts w:hint="eastAsia" w:ascii="黑体" w:hAnsi="宋体" w:eastAsia="黑体"/>
          <w:color w:val="000000"/>
          <w:kern w:val="0"/>
          <w:sz w:val="32"/>
          <w:szCs w:val="32"/>
          <w:lang w:bidi="ar"/>
        </w:rPr>
        <w:t>一、部门主要职责及内设机构</w:t>
      </w:r>
    </w:p>
    <w:p>
      <w:pPr>
        <w:spacing w:line="360" w:lineRule="auto"/>
        <w:ind w:firstLine="640" w:firstLineChars="200"/>
        <w:rPr>
          <w:rFonts w:ascii="楷体" w:hAnsi="楷体" w:eastAsia="楷体" w:cs="楷体"/>
          <w:b/>
          <w:bCs/>
          <w:color w:val="000000"/>
          <w:kern w:val="0"/>
          <w:sz w:val="32"/>
          <w:szCs w:val="32"/>
          <w:lang w:bidi="ar"/>
        </w:rPr>
      </w:pPr>
      <w:r>
        <w:rPr>
          <w:rFonts w:hint="eastAsia" w:ascii="黑体" w:hAnsi="黑体" w:eastAsia="黑体"/>
          <w:color w:val="000000"/>
          <w:kern w:val="0"/>
          <w:sz w:val="32"/>
          <w:szCs w:val="32"/>
          <w:lang w:bidi="ar"/>
        </w:rPr>
        <w:t>（一）部门主要职责：</w:t>
      </w:r>
    </w:p>
    <w:p>
      <w:pPr>
        <w:spacing w:line="360" w:lineRule="auto"/>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陕西省农林水利气象工会是陕西省总工会领导的，在农业、林业、水利、司法、国土、气象、粮食等性质相近的产业、系统（以下称农林水利气象系统）建立的产业工会组织，是党联系农林水利系统职工的桥梁和纽带，是会员和职工群众合法权益的代表者、维护者。主要职责是：</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1.根据党的基本理论、基本路线、基本纲领和工作方针，围绕党和农林水利产业工作大局，贯彻执行陕西省总工会党组确定的方针任务和作出的决议。独立自主地开展具有农林水利气象特色的工会工作。</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2.依照法律和《中国工会章程》，组织和指导各级农林水利工会坚定不移地推动党的全心全意依靠工人阶级的根本指导方针的贯彻落实，进一步突出和履行维护职能。通过维护，更好地保护、调动和发挥广大职工的积极性、创造性，并把这种积极性、创造性引导到完成本产业的各项中心任务上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3.搞好源头参与和维护。以建立联席会议制度为主要形式，围绕涉及农林水利产业职工合法权益等重大问题，与农业、林业、水利、司法、国土、气象、粮食等有关厅（局）沟通情况，研究对策，从政策和立法方面维护本产业职工的利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4.围绕职工合法权益的重大问题进行调查研究，向上级工会反映职工群众的思想、愿望和要求，提出意见和建议；参与涉及职工切身利益的有关立法和政策、措施的制定；对侵犯职工合法权益的重大事件进行调查研究并提出处理意见。参与农林水利职工重大伤亡事故的调查处理。推进具有产业特色的职工教育工作，提高农林水利职工的思想道德素质和科学文化素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5.负责农林水利产业工会的政策理论研究。为基层各级工会提供政策理论服务。研究制定农林水利工会的组织制度和民主制度，研究指导工会自身改革建设。指导基层工会组织职工开展以职工代表大会为基本制度的民主选举、民主决策、民主管理和民主监督工作。研究和推动基层工会建立平等协商、集体合同制度及其监督保证机制。</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6.领导本产业工会工作；指导地方产业工会开展工作；协调省级产业工会与对口政府部门的关系，协同地方工会帮助省级产业工会解决工作中的实际问题。</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7.做好劳动模范、“五一劳动奖状”、“五一劳动奖章”的推荐、评选。</w:t>
      </w:r>
    </w:p>
    <w:p>
      <w:pPr>
        <w:pStyle w:val="16"/>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8.承担省总和有关厅（局）交办的其他工作。</w:t>
      </w:r>
    </w:p>
    <w:p>
      <w:pPr>
        <w:widowControl/>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（二）内设机构。</w:t>
      </w:r>
    </w:p>
    <w:p>
      <w:pPr>
        <w:widowControl/>
        <w:jc w:val="left"/>
        <w:rPr>
          <w:rFonts w:hint="eastAsia" w:ascii="仿宋_GB2312" w:hAnsi="仿宋_GB2312" w:eastAsia="仿宋_GB2312" w:cs="仿宋_GB2312"/>
          <w:color w:val="000000"/>
          <w:kern w:val="0"/>
          <w:sz w:val="32"/>
          <w:szCs w:val="32"/>
          <w:lang w:eastAsia="zh-CN" w:bidi="ar"/>
        </w:rPr>
      </w:pPr>
      <w:r>
        <w:rPr>
          <w:rFonts w:hint="eastAsia" w:ascii="楷体" w:hAnsi="楷体" w:eastAsia="楷体" w:cs="楷体"/>
          <w:b/>
          <w:bCs/>
          <w:color w:val="000000"/>
          <w:kern w:val="0"/>
          <w:sz w:val="32"/>
          <w:szCs w:val="32"/>
          <w:lang w:bidi="ar"/>
        </w:rPr>
        <w:t xml:space="preserve">    </w:t>
      </w:r>
      <w:r>
        <w:rPr>
          <w:rFonts w:hint="eastAsia" w:ascii="仿宋_GB2312" w:hAnsi="仿宋_GB2312" w:eastAsia="仿宋_GB2312" w:cs="仿宋_GB2312"/>
          <w:color w:val="000000"/>
          <w:kern w:val="0"/>
          <w:sz w:val="32"/>
          <w:szCs w:val="32"/>
          <w:lang w:bidi="ar"/>
        </w:rPr>
        <w:t xml:space="preserve"> 经费审查委员会、女职工委员会</w:t>
      </w:r>
      <w:r>
        <w:rPr>
          <w:rFonts w:hint="eastAsia" w:ascii="仿宋_GB2312" w:hAnsi="仿宋_GB2312" w:eastAsia="仿宋_GB2312" w:cs="仿宋_GB2312"/>
          <w:color w:val="000000"/>
          <w:kern w:val="0"/>
          <w:sz w:val="32"/>
          <w:szCs w:val="32"/>
          <w:lang w:eastAsia="zh-CN" w:bidi="ar"/>
        </w:rPr>
        <w:t>。</w:t>
      </w:r>
    </w:p>
    <w:p>
      <w:pPr>
        <w:widowControl/>
        <w:ind w:firstLine="640" w:firstLineChars="200"/>
        <w:jc w:val="left"/>
        <w:rPr>
          <w:sz w:val="32"/>
          <w:szCs w:val="32"/>
        </w:rPr>
      </w:pPr>
      <w:r>
        <w:rPr>
          <w:rFonts w:ascii="黑体" w:hAnsi="宋体" w:eastAsia="黑体"/>
          <w:color w:val="000000"/>
          <w:kern w:val="0"/>
          <w:sz w:val="32"/>
          <w:szCs w:val="32"/>
          <w:lang w:bidi="ar"/>
        </w:rPr>
        <w:t>二、</w:t>
      </w:r>
      <w:r>
        <w:rPr>
          <w:rFonts w:hint="eastAsia" w:ascii="黑体" w:hAnsi="宋体" w:eastAsia="黑体"/>
          <w:color w:val="000000"/>
          <w:kern w:val="0"/>
          <w:sz w:val="32"/>
          <w:szCs w:val="32"/>
          <w:lang w:bidi="ar"/>
        </w:rPr>
        <w:t>部门决算单位构成</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纳入2020年本部门决算编制范围的单位共1个。</w:t>
      </w:r>
    </w:p>
    <w:tbl>
      <w:tblPr>
        <w:tblStyle w:val="10"/>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1"/>
        <w:gridCol w:w="7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黑体" w:hAnsi="黑体" w:eastAsia="黑体"/>
                <w:sz w:val="32"/>
                <w:szCs w:val="32"/>
              </w:rPr>
            </w:pPr>
            <w:r>
              <w:rPr>
                <w:rFonts w:hint="eastAsia" w:ascii="黑体" w:hAnsi="黑体" w:eastAsia="黑体"/>
                <w:sz w:val="32"/>
                <w:szCs w:val="32"/>
              </w:rPr>
              <w:t>序号</w:t>
            </w:r>
          </w:p>
        </w:tc>
        <w:tc>
          <w:tcPr>
            <w:tcW w:w="7278" w:type="dxa"/>
            <w:vAlign w:val="center"/>
          </w:tcPr>
          <w:p>
            <w:pPr>
              <w:jc w:val="center"/>
              <w:rPr>
                <w:rFonts w:ascii="黑体" w:hAnsi="黑体" w:eastAsia="黑体"/>
                <w:sz w:val="32"/>
                <w:szCs w:val="32"/>
              </w:rPr>
            </w:pPr>
            <w:r>
              <w:rPr>
                <w:rFonts w:hint="eastAsia" w:ascii="黑体" w:hAnsi="黑体" w:eastAsia="黑体"/>
                <w:sz w:val="32"/>
                <w:szCs w:val="32"/>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1681"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7278" w:type="dxa"/>
            <w:vAlign w:val="center"/>
          </w:tcPr>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陕西省农林水利气象工会委员会</w:t>
            </w:r>
          </w:p>
        </w:tc>
      </w:tr>
    </w:tbl>
    <w:p>
      <w:pPr>
        <w:ind w:firstLine="640"/>
        <w:rPr>
          <w:rFonts w:ascii="黑体" w:hAnsi="黑体" w:eastAsia="黑体"/>
          <w:b/>
          <w:bCs/>
          <w:sz w:val="32"/>
          <w:szCs w:val="32"/>
        </w:rPr>
      </w:pPr>
      <w:r>
        <w:rPr>
          <w:rFonts w:hint="eastAsia" w:ascii="黑体" w:hAnsi="黑体" w:eastAsia="黑体"/>
          <w:b/>
          <w:bCs/>
          <w:sz w:val="32"/>
          <w:szCs w:val="32"/>
        </w:rPr>
        <w:t>三、部门人员情况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截止2020年底，本部门人员编制8人，8人属于行政编制人员。单位无离退休人员。</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r>
        <w:drawing>
          <wp:inline distT="0" distB="0" distL="0" distR="0">
            <wp:extent cx="4572000" cy="2743200"/>
            <wp:effectExtent l="0" t="0" r="19050" b="1905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rPr>
          <w:rFonts w:ascii="仿宋_GB2312" w:hAnsi="仿宋_GB2312" w:eastAsia="仿宋_GB2312" w:cs="仿宋_GB2312"/>
          <w:sz w:val="32"/>
          <w:szCs w:val="32"/>
        </w:rPr>
      </w:pPr>
    </w:p>
    <w:p>
      <w:pPr>
        <w:ind w:firstLine="1320" w:firstLineChars="300"/>
        <w:rPr>
          <w:rFonts w:ascii="方正小标宋简体" w:hAnsi="方正小标宋简体" w:eastAsia="方正小标宋简体" w:cs="方正小标宋简体"/>
          <w:color w:val="000000"/>
          <w:kern w:val="0"/>
          <w:sz w:val="44"/>
          <w:szCs w:val="44"/>
          <w:lang w:bidi="ar"/>
        </w:rPr>
      </w:pPr>
    </w:p>
    <w:p>
      <w:pPr>
        <w:ind w:firstLine="1320" w:firstLineChars="300"/>
        <w:rPr>
          <w:rFonts w:hint="eastAsia" w:ascii="方正小标宋简体" w:hAnsi="方正小标宋简体" w:eastAsia="方正小标宋简体" w:cs="方正小标宋简体"/>
          <w:color w:val="000000"/>
          <w:kern w:val="0"/>
          <w:sz w:val="44"/>
          <w:szCs w:val="44"/>
          <w:lang w:bidi="ar"/>
        </w:rPr>
      </w:pPr>
    </w:p>
    <w:p>
      <w:pPr>
        <w:ind w:firstLine="1320" w:firstLineChars="300"/>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第二部分 2020年度部门决算表</w:t>
      </w:r>
    </w:p>
    <w:tbl>
      <w:tblPr>
        <w:tblStyle w:val="9"/>
        <w:tblpPr w:leftFromText="180" w:rightFromText="180" w:vertAnchor="text" w:horzAnchor="margin" w:tblpY="575"/>
        <w:tblOverlap w:val="never"/>
        <w:tblW w:w="9000" w:type="dxa"/>
        <w:tblInd w:w="0" w:type="dxa"/>
        <w:tblLayout w:type="fixed"/>
        <w:tblCellMar>
          <w:top w:w="0" w:type="dxa"/>
          <w:left w:w="0" w:type="dxa"/>
          <w:bottom w:w="0" w:type="dxa"/>
          <w:right w:w="0" w:type="dxa"/>
        </w:tblCellMar>
      </w:tblPr>
      <w:tblGrid>
        <w:gridCol w:w="735"/>
        <w:gridCol w:w="4110"/>
        <w:gridCol w:w="1047"/>
        <w:gridCol w:w="3108"/>
      </w:tblGrid>
      <w:tr>
        <w:tblPrEx>
          <w:tblCellMar>
            <w:top w:w="0" w:type="dxa"/>
            <w:left w:w="0" w:type="dxa"/>
            <w:bottom w:w="0" w:type="dxa"/>
            <w:right w:w="0" w:type="dxa"/>
          </w:tblCellMar>
        </w:tblPrEx>
        <w:trPr>
          <w:trHeight w:val="645" w:hRule="atLeas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序号</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内容</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kern w:val="0"/>
                <w:sz w:val="24"/>
                <w:lang w:bidi="ar"/>
              </w:rPr>
            </w:pPr>
            <w:r>
              <w:rPr>
                <w:rFonts w:hint="eastAsia" w:ascii="黑体" w:hAnsi="宋体" w:eastAsia="黑体"/>
                <w:color w:val="000000"/>
                <w:kern w:val="0"/>
                <w:sz w:val="24"/>
                <w:lang w:bidi="ar"/>
              </w:rPr>
              <w:t>是否</w:t>
            </w:r>
          </w:p>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空表</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黑体" w:hAnsi="宋体" w:eastAsia="黑体"/>
                <w:color w:val="000000"/>
                <w:sz w:val="24"/>
              </w:rPr>
            </w:pPr>
            <w:r>
              <w:rPr>
                <w:rFonts w:hint="eastAsia" w:ascii="黑体" w:hAnsi="宋体" w:eastAsia="黑体"/>
                <w:color w:val="000000"/>
                <w:kern w:val="0"/>
                <w:sz w:val="24"/>
                <w:lang w:bidi="ar"/>
              </w:rPr>
              <w:t>表格为空的理由</w:t>
            </w: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表1</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表2</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收入决算表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表3</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737"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表4</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财政拨款收入支出决算总表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表5</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一般公共预算财政拨款支出决算表</w:t>
            </w:r>
          </w:p>
          <w:p>
            <w:pPr>
              <w:widowControl/>
              <w:jc w:val="left"/>
              <w:rPr>
                <w:rFonts w:ascii="宋体" w:hAnsi="宋体" w:cs="宋体"/>
                <w:color w:val="000000"/>
                <w:kern w:val="0"/>
                <w:sz w:val="24"/>
                <w:lang w:bidi="ar"/>
              </w:rPr>
            </w:pPr>
            <w:r>
              <w:rPr>
                <w:rFonts w:hint="eastAsia" w:ascii="宋体" w:hAnsi="宋体" w:cs="宋体"/>
                <w:color w:val="000000"/>
                <w:kern w:val="0"/>
                <w:sz w:val="24"/>
                <w:lang w:bidi="ar"/>
              </w:rPr>
              <w:t>（按功能分类科目）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表6</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一般公共预算财政拨款基本支出决算表 （按经济分类科目）</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否</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表7</w:t>
            </w:r>
          </w:p>
        </w:tc>
        <w:tc>
          <w:tcPr>
            <w:tcW w:w="4110"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一般公共预算财政拨款“三公”经费及会议费、培训费支出决算表</w:t>
            </w:r>
          </w:p>
        </w:tc>
        <w:tc>
          <w:tcPr>
            <w:tcW w:w="104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本部门不涉及，故公开空表</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表8</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政府性基金预算财政拨款收入支出</w:t>
            </w:r>
          </w:p>
          <w:p>
            <w:pPr>
              <w:widowControl/>
              <w:jc w:val="left"/>
              <w:rPr>
                <w:rFonts w:ascii="宋体" w:hAnsi="宋体" w:cs="宋体"/>
                <w:color w:val="000000"/>
                <w:sz w:val="24"/>
              </w:rPr>
            </w:pPr>
            <w:r>
              <w:rPr>
                <w:rFonts w:hint="eastAsia" w:ascii="宋体" w:hAnsi="宋体" w:cs="宋体"/>
                <w:color w:val="000000"/>
                <w:kern w:val="0"/>
                <w:sz w:val="24"/>
                <w:lang w:bidi="ar"/>
              </w:rPr>
              <w:t>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本部门不涉及，故公开空表</w:t>
            </w:r>
          </w:p>
        </w:tc>
      </w:tr>
      <w:tr>
        <w:tblPrEx>
          <w:tblCellMar>
            <w:top w:w="0" w:type="dxa"/>
            <w:left w:w="0" w:type="dxa"/>
            <w:bottom w:w="0" w:type="dxa"/>
            <w:right w:w="0" w:type="dxa"/>
          </w:tblCellMar>
        </w:tblPrEx>
        <w:trPr>
          <w:trHeight w:val="851" w:hRule="exact"/>
        </w:trPr>
        <w:tc>
          <w:tcPr>
            <w:tcW w:w="7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24"/>
                <w:lang w:bidi="ar"/>
              </w:rPr>
            </w:pPr>
            <w:r>
              <w:rPr>
                <w:rFonts w:hint="eastAsia" w:ascii="宋体" w:hAnsi="宋体" w:cs="宋体"/>
                <w:color w:val="000000"/>
                <w:kern w:val="0"/>
                <w:sz w:val="24"/>
                <w:lang w:bidi="ar"/>
              </w:rPr>
              <w:t>表9</w:t>
            </w:r>
          </w:p>
        </w:tc>
        <w:tc>
          <w:tcPr>
            <w:tcW w:w="411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rPr>
                <w:rFonts w:ascii="宋体" w:hAnsi="宋体" w:cs="宋体"/>
                <w:color w:val="000000"/>
                <w:kern w:val="0"/>
                <w:sz w:val="24"/>
                <w:lang w:bidi="ar"/>
              </w:rPr>
            </w:pPr>
            <w:r>
              <w:rPr>
                <w:rFonts w:hint="eastAsia" w:ascii="宋体" w:hAnsi="宋体" w:cs="宋体"/>
                <w:color w:val="000000"/>
                <w:kern w:val="0"/>
                <w:sz w:val="24"/>
                <w:lang w:bidi="ar"/>
              </w:rPr>
              <w:t>国有资本经营预算财政拨款支出决算表</w:t>
            </w:r>
          </w:p>
        </w:tc>
        <w:tc>
          <w:tcPr>
            <w:tcW w:w="104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sz w:val="24"/>
              </w:rPr>
              <w:t>是</w:t>
            </w:r>
          </w:p>
        </w:tc>
        <w:tc>
          <w:tcPr>
            <w:tcW w:w="310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24"/>
              </w:rPr>
            </w:pPr>
            <w:r>
              <w:rPr>
                <w:rFonts w:hint="eastAsia" w:ascii="宋体" w:hAnsi="宋体" w:cs="宋体"/>
                <w:color w:val="000000"/>
                <w:kern w:val="0"/>
                <w:sz w:val="24"/>
                <w:lang w:bidi="ar"/>
              </w:rPr>
              <w:t>本部门不涉及，故公开空表</w:t>
            </w:r>
          </w:p>
        </w:tc>
      </w:tr>
    </w:tbl>
    <w:p>
      <w:pPr>
        <w:rPr>
          <w:rFonts w:ascii="黑体" w:hAnsi="宋体" w:eastAsia="黑体"/>
          <w:color w:val="000000"/>
          <w:kern w:val="0"/>
          <w:sz w:val="44"/>
          <w:szCs w:val="44"/>
          <w:lang w:bidi="ar"/>
        </w:rPr>
      </w:pPr>
    </w:p>
    <w:p>
      <w:pPr>
        <w:widowControl/>
        <w:rPr>
          <w:rFonts w:ascii="黑体" w:hAnsi="宋体" w:eastAsia="黑体"/>
          <w:color w:val="000000"/>
          <w:kern w:val="0"/>
          <w:sz w:val="44"/>
          <w:szCs w:val="44"/>
          <w:lang w:bidi="ar"/>
        </w:rPr>
      </w:pPr>
    </w:p>
    <w:p>
      <w:pPr>
        <w:widowControl/>
        <w:jc w:val="center"/>
        <w:textAlignment w:val="center"/>
        <w:rPr>
          <w:rFonts w:ascii="宋体" w:hAnsi="宋体" w:cs="宋体"/>
          <w:b/>
          <w:color w:val="000000"/>
          <w:kern w:val="0"/>
          <w:sz w:val="40"/>
          <w:szCs w:val="40"/>
          <w:lang w:bidi="ar"/>
        </w:rPr>
      </w:pPr>
      <w:r>
        <w:rPr>
          <w:rFonts w:hint="eastAsia" w:ascii="宋体" w:hAnsi="宋体" w:cs="宋体"/>
          <w:b/>
          <w:color w:val="000000"/>
          <w:kern w:val="0"/>
          <w:sz w:val="40"/>
          <w:szCs w:val="40"/>
          <w:lang w:bidi="ar"/>
        </w:rPr>
        <w:br w:type="page"/>
      </w:r>
    </w:p>
    <w:p>
      <w:pPr>
        <w:jc w:val="center"/>
        <w:rPr>
          <w:rFonts w:ascii="宋体" w:hAnsi="宋体" w:cs="宋体"/>
          <w:b/>
          <w:bCs/>
          <w:sz w:val="32"/>
          <w:szCs w:val="32"/>
        </w:rPr>
      </w:pPr>
      <w:r>
        <w:rPr>
          <w:rFonts w:hint="eastAsia" w:ascii="宋体" w:hAnsi="宋体" w:cs="宋体"/>
          <w:b/>
          <w:bCs/>
          <w:sz w:val="32"/>
          <w:szCs w:val="32"/>
        </w:rPr>
        <w:t>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公开01表</w:t>
      </w:r>
    </w:p>
    <w:p>
      <w:pPr>
        <w:rPr>
          <w:rFonts w:ascii="宋体" w:hAnsi="宋体" w:cs="宋体"/>
          <w:b/>
          <w:bCs/>
          <w:szCs w:val="21"/>
        </w:rPr>
      </w:pPr>
      <w:r>
        <w:rPr>
          <w:rFonts w:hint="eastAsia" w:ascii="宋体" w:hAnsi="宋体" w:cs="宋体"/>
          <w:b/>
          <w:bCs/>
          <w:szCs w:val="21"/>
        </w:rPr>
        <w:t>编制部门： 陕西省农林水利气象工会委员会                              金额单位：万元</w:t>
      </w:r>
    </w:p>
    <w:tbl>
      <w:tblPr>
        <w:tblStyle w:val="9"/>
        <w:tblW w:w="8884" w:type="dxa"/>
        <w:tblInd w:w="0" w:type="dxa"/>
        <w:tblLayout w:type="fixed"/>
        <w:tblCellMar>
          <w:top w:w="15" w:type="dxa"/>
          <w:left w:w="15" w:type="dxa"/>
          <w:bottom w:w="15" w:type="dxa"/>
          <w:right w:w="15" w:type="dxa"/>
        </w:tblCellMar>
      </w:tblPr>
      <w:tblGrid>
        <w:gridCol w:w="3073"/>
        <w:gridCol w:w="1395"/>
        <w:gridCol w:w="3090"/>
        <w:gridCol w:w="1326"/>
      </w:tblGrid>
      <w:tr>
        <w:tblPrEx>
          <w:tblCellMar>
            <w:top w:w="15" w:type="dxa"/>
            <w:left w:w="15" w:type="dxa"/>
            <w:bottom w:w="15" w:type="dxa"/>
            <w:right w:w="15" w:type="dxa"/>
          </w:tblCellMar>
        </w:tblPrEx>
        <w:trPr>
          <w:trHeight w:val="426" w:hRule="atLeast"/>
        </w:trPr>
        <w:tc>
          <w:tcPr>
            <w:tcW w:w="446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    入</w:t>
            </w:r>
          </w:p>
        </w:tc>
        <w:tc>
          <w:tcPr>
            <w:tcW w:w="44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    出</w:t>
            </w:r>
          </w:p>
        </w:tc>
      </w:tr>
      <w:tr>
        <w:tblPrEx>
          <w:tblCellMar>
            <w:top w:w="15" w:type="dxa"/>
            <w:left w:w="15" w:type="dxa"/>
            <w:bottom w:w="15" w:type="dxa"/>
            <w:right w:w="15" w:type="dxa"/>
          </w:tblCellMar>
        </w:tblPrEx>
        <w:trPr>
          <w:trHeight w:val="378"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32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szCs w:val="21"/>
              </w:rPr>
            </w:pPr>
            <w:r>
              <w:rPr>
                <w:rFonts w:hint="eastAsia" w:ascii="宋体" w:hAnsi="宋体" w:cs="宋体"/>
                <w:color w:val="000000"/>
                <w:kern w:val="0"/>
                <w:szCs w:val="21"/>
              </w:rPr>
              <w:t>1.一般公共预算财政拨款</w:t>
            </w:r>
          </w:p>
        </w:tc>
        <w:tc>
          <w:tcPr>
            <w:tcW w:w="1395" w:type="dxa"/>
            <w:tcBorders>
              <w:top w:val="single" w:color="000000" w:sz="4" w:space="0"/>
              <w:left w:val="single" w:color="000000" w:sz="4" w:space="0"/>
              <w:bottom w:val="single" w:color="000000" w:sz="4" w:space="0"/>
              <w:right w:val="single" w:color="000000" w:sz="4" w:space="0"/>
            </w:tcBorders>
            <w:vAlign w:val="center"/>
          </w:tcPr>
          <w:p>
            <w:pPr>
              <w:tabs>
                <w:tab w:val="left" w:pos="586"/>
              </w:tabs>
              <w:jc w:val="left"/>
              <w:rPr>
                <w:rFonts w:ascii="宋体" w:hAnsi="宋体" w:cs="宋体"/>
                <w:color w:val="000000"/>
                <w:szCs w:val="21"/>
              </w:rPr>
            </w:pPr>
            <w:r>
              <w:rPr>
                <w:rFonts w:hint="eastAsia" w:ascii="宋体" w:hAnsi="宋体" w:cs="宋体"/>
                <w:color w:val="000000"/>
                <w:szCs w:val="21"/>
              </w:rPr>
              <w:tab/>
            </w:r>
            <w:r>
              <w:rPr>
                <w:rFonts w:hint="eastAsia" w:ascii="宋体" w:hAnsi="宋体" w:cs="宋体"/>
                <w:color w:val="000000"/>
                <w:szCs w:val="21"/>
              </w:rPr>
              <w:t>85.85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1.一般公共服务支出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85.85</w:t>
            </w:r>
          </w:p>
        </w:tc>
      </w:tr>
      <w:tr>
        <w:tblPrEx>
          <w:tblCellMar>
            <w:top w:w="15" w:type="dxa"/>
            <w:left w:w="15" w:type="dxa"/>
            <w:bottom w:w="15" w:type="dxa"/>
            <w:right w:w="15" w:type="dxa"/>
          </w:tblCellMar>
        </w:tblPrEx>
        <w:trPr>
          <w:trHeight w:val="347"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2.政府性基金预算财政拨款</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2.外交支出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 xml:space="preserve">3.国有资本经营预算财政拨款 </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3.国防支出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4.上级补助收入</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4.公共安全支出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5.事业收入</w:t>
            </w:r>
          </w:p>
        </w:tc>
        <w:tc>
          <w:tcPr>
            <w:tcW w:w="1395"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5.教育支出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6.经营收入</w:t>
            </w:r>
          </w:p>
        </w:tc>
        <w:tc>
          <w:tcPr>
            <w:tcW w:w="1395"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6.科学技术支出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7.附属单位上缴收入</w:t>
            </w:r>
          </w:p>
        </w:tc>
        <w:tc>
          <w:tcPr>
            <w:tcW w:w="139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7.文化旅游体育与传媒支出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r>
              <w:rPr>
                <w:rFonts w:hint="eastAsia" w:ascii="宋体" w:hAnsi="宋体" w:cs="宋体"/>
                <w:color w:val="000000"/>
                <w:kern w:val="0"/>
                <w:szCs w:val="21"/>
              </w:rPr>
              <w:t>8.其他收入</w:t>
            </w:r>
          </w:p>
        </w:tc>
        <w:tc>
          <w:tcPr>
            <w:tcW w:w="139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8.社会保障和就业支出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395" w:type="dxa"/>
            <w:tcBorders>
              <w:top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9.卫生健康支出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49"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395"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10.节能环保支出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3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 w:val="20"/>
                <w:szCs w:val="20"/>
                <w:lang w:bidi="ar"/>
              </w:rPr>
              <w:t xml:space="preserve"> </w:t>
            </w:r>
          </w:p>
        </w:tc>
        <w:tc>
          <w:tcPr>
            <w:tcW w:w="1395" w:type="dxa"/>
            <w:tcBorders>
              <w:top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11.城乡社区支出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00"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12.农林水支出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7"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13.交通运输支出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14.资源勘探信息等支出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15.商业服务业等支出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98"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16.金融支出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5"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17.援助其他地区支出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1"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18.自然资源海洋气象等支出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45"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19.住房保障支出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12"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20.粮油物资储备支出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21.国有资本经营预算支出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22.灾害防治及应急管理支出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287" w:hRule="atLeast"/>
        </w:trPr>
        <w:tc>
          <w:tcPr>
            <w:tcW w:w="307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ind w:firstLine="210" w:firstLineChars="100"/>
              <w:textAlignment w:val="center"/>
              <w:rPr>
                <w:rFonts w:ascii="宋体" w:hAnsi="宋体" w:cs="宋体"/>
                <w:color w:val="000000"/>
                <w:kern w:val="0"/>
                <w:szCs w:val="21"/>
              </w:rPr>
            </w:pPr>
            <w:r>
              <w:rPr>
                <w:rFonts w:hint="eastAsia" w:ascii="宋体" w:hAnsi="宋体" w:cs="宋体"/>
                <w:color w:val="000000"/>
                <w:kern w:val="0"/>
                <w:szCs w:val="21"/>
              </w:rPr>
              <w:t>23.其他支出</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5" w:hRule="atLeast"/>
        </w:trPr>
        <w:tc>
          <w:tcPr>
            <w:tcW w:w="3073"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本年收入合计</w:t>
            </w:r>
          </w:p>
        </w:tc>
        <w:tc>
          <w:tcPr>
            <w:tcW w:w="1395" w:type="dxa"/>
            <w:tcBorders>
              <w:top w:val="single" w:color="000000" w:sz="4" w:space="0"/>
              <w:left w:val="single" w:color="000000" w:sz="4" w:space="0"/>
              <w:right w:val="single" w:color="000000" w:sz="4" w:space="0"/>
            </w:tcBorders>
            <w:vAlign w:val="center"/>
          </w:tcPr>
          <w:p>
            <w:pPr>
              <w:widowControl/>
              <w:tabs>
                <w:tab w:val="center" w:pos="682"/>
                <w:tab w:val="right" w:pos="1590"/>
              </w:tabs>
              <w:jc w:val="left"/>
              <w:textAlignment w:val="center"/>
              <w:rPr>
                <w:rFonts w:ascii="宋体" w:hAnsi="宋体" w:cs="宋体"/>
                <w:color w:val="000000"/>
                <w:szCs w:val="21"/>
              </w:rPr>
            </w:pPr>
            <w:r>
              <w:rPr>
                <w:rFonts w:hint="eastAsia" w:ascii="宋体" w:hAnsi="宋体" w:cs="宋体"/>
                <w:color w:val="000000"/>
                <w:kern w:val="0"/>
                <w:szCs w:val="21"/>
              </w:rPr>
              <w:tab/>
            </w:r>
            <w:r>
              <w:rPr>
                <w:rFonts w:hint="eastAsia" w:ascii="宋体" w:hAnsi="宋体" w:cs="宋体"/>
                <w:color w:val="000000"/>
                <w:kern w:val="0"/>
                <w:szCs w:val="21"/>
              </w:rPr>
              <w:t>85.85</w:t>
            </w:r>
            <w:r>
              <w:rPr>
                <w:rFonts w:hint="eastAsia" w:ascii="宋体" w:hAnsi="宋体" w:cs="宋体"/>
                <w:color w:val="000000"/>
                <w:kern w:val="0"/>
                <w:szCs w:val="21"/>
              </w:rPr>
              <w:tab/>
            </w:r>
            <w:r>
              <w:rPr>
                <w:rFonts w:hint="eastAsia" w:ascii="宋体" w:hAnsi="宋体" w:cs="宋体"/>
                <w:color w:val="000000"/>
                <w:kern w:val="0"/>
                <w:szCs w:val="21"/>
              </w:rPr>
              <w:t xml:space="preserve"> </w:t>
            </w:r>
          </w:p>
        </w:tc>
        <w:tc>
          <w:tcPr>
            <w:tcW w:w="3090"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326" w:type="dxa"/>
            <w:tcBorders>
              <w:top w:val="single" w:color="000000" w:sz="4" w:space="0"/>
              <w:left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85.85</w:t>
            </w:r>
          </w:p>
        </w:tc>
      </w:tr>
      <w:tr>
        <w:tblPrEx>
          <w:tblCellMar>
            <w:top w:w="15" w:type="dxa"/>
            <w:left w:w="15" w:type="dxa"/>
            <w:bottom w:w="15" w:type="dxa"/>
            <w:right w:w="15" w:type="dxa"/>
          </w:tblCellMar>
        </w:tblPrEx>
        <w:trPr>
          <w:trHeight w:val="355"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使用非财政拨款结余</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 xml:space="preserve">结余分配 </w:t>
            </w:r>
          </w:p>
        </w:tc>
        <w:tc>
          <w:tcPr>
            <w:tcW w:w="1326"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b/>
                <w:color w:val="000000"/>
                <w:szCs w:val="21"/>
              </w:rPr>
            </w:pPr>
          </w:p>
        </w:tc>
      </w:tr>
      <w:tr>
        <w:tblPrEx>
          <w:tblCellMar>
            <w:top w:w="15" w:type="dxa"/>
            <w:left w:w="15" w:type="dxa"/>
            <w:bottom w:w="15" w:type="dxa"/>
            <w:right w:w="15" w:type="dxa"/>
          </w:tblCellMar>
        </w:tblPrEx>
        <w:trPr>
          <w:trHeight w:val="371"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年初结转和结余</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Cs/>
                <w:color w:val="000000"/>
                <w:szCs w:val="21"/>
              </w:rPr>
            </w:pP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bCs/>
                <w:color w:val="000000"/>
                <w:szCs w:val="21"/>
              </w:rPr>
            </w:pPr>
            <w:r>
              <w:rPr>
                <w:rFonts w:hint="eastAsia" w:ascii="宋体" w:hAnsi="宋体" w:cs="宋体"/>
                <w:bCs/>
                <w:color w:val="000000"/>
                <w:kern w:val="0"/>
                <w:szCs w:val="21"/>
              </w:rPr>
              <w:t>年末结转和结余</w:t>
            </w:r>
          </w:p>
        </w:tc>
        <w:tc>
          <w:tcPr>
            <w:tcW w:w="1326"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82" w:hRule="atLeast"/>
        </w:trPr>
        <w:tc>
          <w:tcPr>
            <w:tcW w:w="307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收入总计</w:t>
            </w:r>
          </w:p>
        </w:tc>
        <w:tc>
          <w:tcPr>
            <w:tcW w:w="139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000000"/>
                <w:szCs w:val="21"/>
              </w:rPr>
            </w:pPr>
            <w:r>
              <w:rPr>
                <w:rFonts w:hint="eastAsia" w:ascii="宋体" w:hAnsi="宋体" w:cs="宋体"/>
                <w:color w:val="000000"/>
                <w:szCs w:val="21"/>
              </w:rPr>
              <w:t>85.85</w:t>
            </w:r>
          </w:p>
        </w:tc>
        <w:tc>
          <w:tcPr>
            <w:tcW w:w="309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支出总计</w:t>
            </w:r>
          </w:p>
        </w:tc>
        <w:tc>
          <w:tcPr>
            <w:tcW w:w="132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Cs/>
                <w:color w:val="000000"/>
                <w:szCs w:val="21"/>
              </w:rPr>
            </w:pPr>
            <w:r>
              <w:rPr>
                <w:rFonts w:hint="eastAsia" w:ascii="宋体" w:hAnsi="宋体" w:cs="宋体"/>
                <w:bCs/>
                <w:color w:val="000000"/>
                <w:szCs w:val="21"/>
              </w:rPr>
              <w:t>85.85</w:t>
            </w:r>
          </w:p>
        </w:tc>
      </w:tr>
    </w:tbl>
    <w:p>
      <w:pPr>
        <w:widowControl/>
        <w:jc w:val="left"/>
        <w:rPr>
          <w:rFonts w:ascii="宋体" w:hAnsi="宋体" w:cs="宋体"/>
          <w:sz w:val="48"/>
          <w:szCs w:val="48"/>
        </w:rPr>
      </w:pPr>
      <w:r>
        <w:rPr>
          <w:rFonts w:hint="eastAsia" w:ascii="宋体" w:hAnsi="宋体" w:cs="宋体"/>
          <w:color w:val="000000"/>
          <w:kern w:val="0"/>
          <w:szCs w:val="21"/>
        </w:rPr>
        <w:t>注：本表反映部门本年度的总收支和年末结转结余情况。本表金额转换为万元时，因四舍五入可能存在尾差。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收入决算表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公开02表</w:t>
      </w:r>
    </w:p>
    <w:p>
      <w:pPr>
        <w:spacing w:line="240" w:lineRule="exact"/>
        <w:ind w:left="7168" w:hanging="7168" w:hangingChars="3400"/>
        <w:jc w:val="left"/>
        <w:rPr>
          <w:rFonts w:ascii="宋体" w:hAnsi="宋体" w:cs="宋体"/>
          <w:b/>
          <w:bCs/>
          <w:sz w:val="48"/>
          <w:szCs w:val="48"/>
        </w:rPr>
      </w:pPr>
      <w:r>
        <w:rPr>
          <w:rFonts w:hint="eastAsia" w:ascii="宋体" w:hAnsi="宋体" w:cs="宋体"/>
          <w:b/>
          <w:bCs/>
          <w:szCs w:val="21"/>
        </w:rPr>
        <w:t>编制部门： 陕西省农林水利气象工会委员会                          金额单位：万元</w:t>
      </w:r>
    </w:p>
    <w:tbl>
      <w:tblPr>
        <w:tblStyle w:val="9"/>
        <w:tblW w:w="8306" w:type="dxa"/>
        <w:tblInd w:w="0" w:type="dxa"/>
        <w:tblLayout w:type="fixed"/>
        <w:tblCellMar>
          <w:top w:w="15" w:type="dxa"/>
          <w:left w:w="15" w:type="dxa"/>
          <w:bottom w:w="15" w:type="dxa"/>
          <w:right w:w="15" w:type="dxa"/>
        </w:tblCellMar>
      </w:tblPr>
      <w:tblGrid>
        <w:gridCol w:w="927"/>
        <w:gridCol w:w="1212"/>
        <w:gridCol w:w="934"/>
        <w:gridCol w:w="1150"/>
        <w:gridCol w:w="600"/>
        <w:gridCol w:w="400"/>
        <w:gridCol w:w="516"/>
        <w:gridCol w:w="717"/>
        <w:gridCol w:w="967"/>
        <w:gridCol w:w="883"/>
      </w:tblGrid>
      <w:tr>
        <w:tblPrEx>
          <w:tblCellMar>
            <w:top w:w="15" w:type="dxa"/>
            <w:left w:w="15" w:type="dxa"/>
            <w:bottom w:w="15" w:type="dxa"/>
            <w:right w:w="15" w:type="dxa"/>
          </w:tblCellMar>
        </w:tblPrEx>
        <w:trPr>
          <w:trHeight w:val="439" w:hRule="atLeast"/>
        </w:trPr>
        <w:tc>
          <w:tcPr>
            <w:tcW w:w="2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项目</w:t>
            </w:r>
          </w:p>
        </w:tc>
        <w:tc>
          <w:tcPr>
            <w:tcW w:w="934"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本年收入合计</w:t>
            </w:r>
          </w:p>
        </w:tc>
        <w:tc>
          <w:tcPr>
            <w:tcW w:w="11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财政拨款收入</w:t>
            </w:r>
          </w:p>
        </w:tc>
        <w:tc>
          <w:tcPr>
            <w:tcW w:w="60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上级补助收入</w:t>
            </w:r>
          </w:p>
        </w:tc>
        <w:tc>
          <w:tcPr>
            <w:tcW w:w="91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事业收入</w:t>
            </w:r>
          </w:p>
        </w:tc>
        <w:tc>
          <w:tcPr>
            <w:tcW w:w="7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经营</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附属单位上缴收入</w:t>
            </w:r>
          </w:p>
        </w:tc>
        <w:tc>
          <w:tcPr>
            <w:tcW w:w="88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bCs/>
                <w:color w:val="000000"/>
                <w:kern w:val="0"/>
                <w:szCs w:val="21"/>
              </w:rPr>
            </w:pPr>
            <w:r>
              <w:rPr>
                <w:rFonts w:hint="eastAsia" w:ascii="宋体" w:hAnsi="宋体" w:cs="宋体"/>
                <w:b/>
                <w:bCs/>
                <w:color w:val="000000"/>
                <w:kern w:val="0"/>
                <w:szCs w:val="21"/>
              </w:rPr>
              <w:t>其他</w:t>
            </w:r>
          </w:p>
          <w:p>
            <w:pPr>
              <w:widowControl/>
              <w:jc w:val="center"/>
              <w:textAlignment w:val="center"/>
              <w:rPr>
                <w:rFonts w:ascii="宋体" w:hAnsi="宋体" w:cs="宋体"/>
                <w:b/>
                <w:bCs/>
                <w:color w:val="000000"/>
                <w:szCs w:val="21"/>
              </w:rPr>
            </w:pPr>
            <w:r>
              <w:rPr>
                <w:rFonts w:hint="eastAsia" w:ascii="宋体" w:hAnsi="宋体" w:cs="宋体"/>
                <w:b/>
                <w:bCs/>
                <w:color w:val="000000"/>
                <w:kern w:val="0"/>
                <w:szCs w:val="21"/>
              </w:rPr>
              <w:t>收入</w:t>
            </w:r>
          </w:p>
        </w:tc>
      </w:tr>
      <w:tr>
        <w:tblPrEx>
          <w:tblCellMar>
            <w:top w:w="15" w:type="dxa"/>
            <w:left w:w="15" w:type="dxa"/>
            <w:bottom w:w="15" w:type="dxa"/>
            <w:right w:w="15" w:type="dxa"/>
          </w:tblCellMar>
        </w:tblPrEx>
        <w:trPr>
          <w:trHeight w:val="1125" w:hRule="atLeast"/>
        </w:trPr>
        <w:tc>
          <w:tcPr>
            <w:tcW w:w="927"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2" w:type="dxa"/>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科目</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名称</w:t>
            </w:r>
          </w:p>
        </w:tc>
        <w:tc>
          <w:tcPr>
            <w:tcW w:w="934"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60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小计</w:t>
            </w:r>
          </w:p>
        </w:tc>
        <w:tc>
          <w:tcPr>
            <w:tcW w:w="516"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 xml:space="preserve">其中：教育 </w:t>
            </w:r>
          </w:p>
          <w:p>
            <w:pPr>
              <w:ind w:firstLine="843" w:firstLineChars="400"/>
              <w:rPr>
                <w:rFonts w:ascii="宋体" w:hAnsi="宋体" w:cs="宋体"/>
                <w:b/>
                <w:color w:val="000000"/>
                <w:szCs w:val="21"/>
              </w:rPr>
            </w:pPr>
            <w:r>
              <w:rPr>
                <w:rFonts w:hint="eastAsia" w:ascii="宋体" w:hAnsi="宋体" w:cs="宋体"/>
                <w:b/>
                <w:color w:val="000000"/>
                <w:szCs w:val="21"/>
              </w:rPr>
              <w:t>收费</w:t>
            </w:r>
          </w:p>
        </w:tc>
        <w:tc>
          <w:tcPr>
            <w:tcW w:w="7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8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9" w:hRule="atLeast"/>
        </w:trPr>
        <w:tc>
          <w:tcPr>
            <w:tcW w:w="21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934" w:type="dxa"/>
            <w:tcBorders>
              <w:top w:val="single" w:color="000000" w:sz="4" w:space="0"/>
              <w:left w:val="single" w:color="000000" w:sz="4" w:space="0"/>
              <w:bottom w:val="single" w:color="000000" w:sz="4" w:space="0"/>
              <w:right w:val="single" w:color="000000" w:sz="4" w:space="0"/>
            </w:tcBorders>
            <w:vAlign w:val="center"/>
          </w:tcPr>
          <w:p>
            <w:pPr>
              <w:tabs>
                <w:tab w:val="left" w:pos="376"/>
              </w:tabs>
              <w:jc w:val="left"/>
              <w:rPr>
                <w:rFonts w:ascii="宋体" w:hAnsi="宋体" w:cs="宋体"/>
                <w:color w:val="000000"/>
                <w:szCs w:val="21"/>
              </w:rPr>
            </w:pPr>
            <w:r>
              <w:rPr>
                <w:rFonts w:hint="eastAsia" w:ascii="宋体" w:hAnsi="宋体" w:cs="宋体"/>
                <w:color w:val="000000"/>
                <w:szCs w:val="21"/>
              </w:rPr>
              <w:tab/>
            </w:r>
            <w:r>
              <w:rPr>
                <w:rFonts w:hint="eastAsia" w:ascii="宋体" w:hAnsi="宋体" w:cs="宋体"/>
                <w:color w:val="000000"/>
                <w:szCs w:val="21"/>
              </w:rPr>
              <w:t>85.85</w:t>
            </w:r>
          </w:p>
        </w:tc>
        <w:tc>
          <w:tcPr>
            <w:tcW w:w="1150" w:type="dxa"/>
            <w:tcBorders>
              <w:top w:val="single" w:color="000000" w:sz="4" w:space="0"/>
              <w:left w:val="single" w:color="000000" w:sz="4" w:space="0"/>
              <w:bottom w:val="single" w:color="000000" w:sz="4" w:space="0"/>
              <w:right w:val="single" w:color="000000" w:sz="4" w:space="0"/>
            </w:tcBorders>
            <w:vAlign w:val="center"/>
          </w:tcPr>
          <w:p>
            <w:pPr>
              <w:tabs>
                <w:tab w:val="left" w:pos="454"/>
              </w:tabs>
              <w:jc w:val="left"/>
              <w:rPr>
                <w:rFonts w:ascii="宋体" w:hAnsi="宋体" w:cs="宋体"/>
                <w:color w:val="000000"/>
                <w:szCs w:val="21"/>
              </w:rPr>
            </w:pPr>
            <w:r>
              <w:rPr>
                <w:rFonts w:hint="eastAsia" w:ascii="宋体" w:hAnsi="宋体" w:cs="宋体"/>
                <w:color w:val="000000"/>
                <w:szCs w:val="21"/>
              </w:rPr>
              <w:tab/>
            </w:r>
            <w:r>
              <w:rPr>
                <w:rFonts w:hint="eastAsia" w:ascii="宋体" w:hAnsi="宋体" w:cs="宋体"/>
                <w:color w:val="000000"/>
                <w:szCs w:val="21"/>
              </w:rPr>
              <w:t>85.85</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2012901</w:t>
            </w: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行政运行</w:t>
            </w: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9" w:hRule="atLeast"/>
        </w:trPr>
        <w:tc>
          <w:tcPr>
            <w:tcW w:w="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1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4"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6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40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51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71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6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88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注：本表反映部门本年度取得的各项收入情况。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支出决算表</w:t>
      </w:r>
    </w:p>
    <w:p>
      <w:pPr>
        <w:rPr>
          <w:rFonts w:ascii="宋体" w:hAnsi="宋体" w:cs="宋体"/>
          <w:b/>
          <w:bCs/>
          <w:szCs w:val="21"/>
        </w:rPr>
      </w:pPr>
      <w:r>
        <w:rPr>
          <w:rFonts w:hint="eastAsia" w:ascii="宋体" w:hAnsi="宋体" w:cs="宋体"/>
          <w:b/>
          <w:bCs/>
          <w:sz w:val="24"/>
        </w:rPr>
        <w:t xml:space="preserve">                        </w:t>
      </w:r>
      <w:r>
        <w:rPr>
          <w:rFonts w:hint="eastAsia" w:ascii="宋体" w:hAnsi="宋体" w:cs="宋体"/>
          <w:b/>
          <w:bCs/>
          <w:szCs w:val="21"/>
        </w:rPr>
        <w:t xml:space="preserve">                                               公开03表</w:t>
      </w:r>
    </w:p>
    <w:p>
      <w:pPr>
        <w:ind w:left="7379" w:hanging="7379" w:hangingChars="3500"/>
        <w:jc w:val="left"/>
        <w:rPr>
          <w:rFonts w:ascii="宋体" w:hAnsi="宋体" w:cs="宋体"/>
          <w:b/>
          <w:bCs/>
          <w:sz w:val="48"/>
          <w:szCs w:val="48"/>
        </w:rPr>
      </w:pPr>
      <w:r>
        <w:rPr>
          <w:rFonts w:hint="eastAsia" w:ascii="宋体" w:hAnsi="宋体" w:cs="宋体"/>
          <w:b/>
          <w:bCs/>
          <w:szCs w:val="21"/>
        </w:rPr>
        <w:t>编制部门：陕西省农林水利气象工会委员会                               金额单位：万元</w:t>
      </w:r>
    </w:p>
    <w:tbl>
      <w:tblPr>
        <w:tblStyle w:val="9"/>
        <w:tblW w:w="8896" w:type="dxa"/>
        <w:tblInd w:w="0" w:type="dxa"/>
        <w:tblLayout w:type="fixed"/>
        <w:tblCellMar>
          <w:top w:w="15" w:type="dxa"/>
          <w:left w:w="15" w:type="dxa"/>
          <w:bottom w:w="15" w:type="dxa"/>
          <w:right w:w="15" w:type="dxa"/>
        </w:tblCellMar>
      </w:tblPr>
      <w:tblGrid>
        <w:gridCol w:w="914"/>
        <w:gridCol w:w="83"/>
        <w:gridCol w:w="1219"/>
        <w:gridCol w:w="1255"/>
        <w:gridCol w:w="986"/>
        <w:gridCol w:w="1077"/>
        <w:gridCol w:w="1109"/>
        <w:gridCol w:w="908"/>
        <w:gridCol w:w="1345"/>
      </w:tblGrid>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12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本年支出</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98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7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10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上缴上</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级支出</w:t>
            </w:r>
          </w:p>
        </w:tc>
        <w:tc>
          <w:tcPr>
            <w:tcW w:w="90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经营支出</w:t>
            </w:r>
          </w:p>
        </w:tc>
        <w:tc>
          <w:tcPr>
            <w:tcW w:w="134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对附属单位</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补助支出</w:t>
            </w:r>
          </w:p>
        </w:tc>
      </w:tr>
      <w:tr>
        <w:tblPrEx>
          <w:tblCellMar>
            <w:top w:w="15" w:type="dxa"/>
            <w:left w:w="15" w:type="dxa"/>
            <w:bottom w:w="15" w:type="dxa"/>
            <w:right w:w="15" w:type="dxa"/>
          </w:tblCellMar>
        </w:tblPrEx>
        <w:trPr>
          <w:trHeight w:val="702" w:hRule="atLeast"/>
        </w:trPr>
        <w:tc>
          <w:tcPr>
            <w:tcW w:w="99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2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2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7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0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0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4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372" w:hRule="atLeast"/>
        </w:trPr>
        <w:tc>
          <w:tcPr>
            <w:tcW w:w="221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一般公共服务支出</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群众团体事务</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2012901</w:t>
            </w: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行政运行</w:t>
            </w: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tabs>
                <w:tab w:val="left" w:pos="506"/>
              </w:tabs>
              <w:jc w:val="lef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72" w:hRule="atLeast"/>
        </w:trPr>
        <w:tc>
          <w:tcPr>
            <w:tcW w:w="91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302" w:type="dxa"/>
            <w:gridSpan w:val="2"/>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2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8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7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0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0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4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注：本表反映部门本年度各项支出情况。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t>财政拨款收入支出决算总表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公开04表</w:t>
      </w:r>
    </w:p>
    <w:p>
      <w:pPr>
        <w:ind w:left="7800" w:hanging="7800" w:hangingChars="3700"/>
        <w:jc w:val="left"/>
        <w:rPr>
          <w:rFonts w:ascii="宋体" w:hAnsi="宋体" w:cs="宋体"/>
          <w:b/>
          <w:bCs/>
          <w:szCs w:val="21"/>
        </w:rPr>
      </w:pPr>
      <w:r>
        <w:rPr>
          <w:rFonts w:hint="eastAsia" w:ascii="宋体" w:hAnsi="宋体" w:cs="宋体"/>
          <w:b/>
          <w:bCs/>
          <w:szCs w:val="21"/>
        </w:rPr>
        <w:t>编制部门：陕西省农林水利气象工会委员会                                金额单位：万元</w:t>
      </w:r>
    </w:p>
    <w:tbl>
      <w:tblPr>
        <w:tblStyle w:val="9"/>
        <w:tblW w:w="8965" w:type="dxa"/>
        <w:tblInd w:w="0" w:type="dxa"/>
        <w:tblLayout w:type="fixed"/>
        <w:tblCellMar>
          <w:top w:w="15" w:type="dxa"/>
          <w:left w:w="15" w:type="dxa"/>
          <w:bottom w:w="15" w:type="dxa"/>
          <w:right w:w="15" w:type="dxa"/>
        </w:tblCellMar>
      </w:tblPr>
      <w:tblGrid>
        <w:gridCol w:w="1443"/>
        <w:gridCol w:w="1038"/>
        <w:gridCol w:w="2330"/>
        <w:gridCol w:w="808"/>
        <w:gridCol w:w="1015"/>
        <w:gridCol w:w="1166"/>
        <w:gridCol w:w="1165"/>
      </w:tblGrid>
      <w:tr>
        <w:tblPrEx>
          <w:tblCellMar>
            <w:top w:w="15" w:type="dxa"/>
            <w:left w:w="15" w:type="dxa"/>
            <w:bottom w:w="15" w:type="dxa"/>
            <w:right w:w="15" w:type="dxa"/>
          </w:tblCellMar>
        </w:tblPrEx>
        <w:trPr>
          <w:trHeight w:val="276" w:hRule="atLeast"/>
        </w:trPr>
        <w:tc>
          <w:tcPr>
            <w:tcW w:w="2481"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5319"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r>
      <w:tr>
        <w:tblPrEx>
          <w:tblCellMar>
            <w:top w:w="15" w:type="dxa"/>
            <w:left w:w="15" w:type="dxa"/>
            <w:bottom w:w="15" w:type="dxa"/>
            <w:right w:w="15" w:type="dxa"/>
          </w:tblCellMar>
        </w:tblPrEx>
        <w:trPr>
          <w:trHeight w:val="71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59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1.一般公共预算财政拨款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r>
              <w:rPr>
                <w:rFonts w:hint="eastAsia" w:ascii="宋体" w:hAnsi="宋体" w:cs="宋体"/>
                <w:color w:val="000000"/>
                <w:sz w:val="18"/>
                <w:szCs w:val="18"/>
              </w:rPr>
              <w:t>85.85</w:t>
            </w: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1.一般公共服务支出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szCs w:val="21"/>
              </w:rPr>
              <w:t>85.85</w:t>
            </w: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85.85</w:t>
            </w: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kern w:val="0"/>
                <w:sz w:val="18"/>
                <w:szCs w:val="18"/>
              </w:rPr>
              <w:t>2.政府性基金预算财政拨款</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2.外交支出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73"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ind w:left="180" w:hanging="180" w:hangingChars="100"/>
              <w:jc w:val="left"/>
              <w:textAlignment w:val="center"/>
              <w:rPr>
                <w:rFonts w:ascii="宋体" w:hAnsi="宋体" w:cs="宋体"/>
                <w:color w:val="000000"/>
                <w:sz w:val="18"/>
                <w:szCs w:val="18"/>
              </w:rPr>
            </w:pPr>
            <w:r>
              <w:rPr>
                <w:rFonts w:hint="eastAsia" w:ascii="宋体" w:hAnsi="宋体" w:cs="宋体"/>
                <w:color w:val="000000"/>
                <w:sz w:val="18"/>
                <w:szCs w:val="18"/>
              </w:rPr>
              <w:t>3.国有资本经营预算收入</w:t>
            </w: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3.国防支出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4.公共安全支出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5.教育支出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6.科学技术支出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7.</w:t>
            </w:r>
            <w:r>
              <w:rPr>
                <w:rFonts w:hint="eastAsia" w:ascii="宋体" w:hAnsi="宋体" w:cs="宋体"/>
                <w:color w:val="000000"/>
                <w:spacing w:val="-11"/>
                <w:w w:val="98"/>
                <w:kern w:val="0"/>
                <w:sz w:val="18"/>
                <w:szCs w:val="18"/>
              </w:rPr>
              <w:t>文化旅游体育与传媒支出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8.社会保障和就业支出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9.卫生健康支出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10.节能环保支出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11.城乡社区支出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12.农林水支出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13.交通运输支出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14.资源勘探信息等支出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15.商业服务业等支出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16.金融支出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17.援助其他地区支出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 w:val="18"/>
                <w:szCs w:val="18"/>
              </w:rPr>
            </w:pPr>
            <w:r>
              <w:rPr>
                <w:rFonts w:hint="eastAsia" w:ascii="宋体" w:hAnsi="宋体" w:cs="宋体"/>
                <w:color w:val="000000"/>
                <w:kern w:val="0"/>
                <w:sz w:val="18"/>
                <w:szCs w:val="18"/>
              </w:rPr>
              <w:t>18.自然资源海洋气象等支出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19.住房保障支出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sz w:val="18"/>
                <w:szCs w:val="18"/>
              </w:rPr>
            </w:pPr>
            <w:r>
              <w:rPr>
                <w:rFonts w:hint="eastAsia" w:ascii="宋体" w:hAnsi="宋体" w:cs="宋体"/>
                <w:color w:val="000000"/>
                <w:kern w:val="0"/>
                <w:sz w:val="18"/>
                <w:szCs w:val="18"/>
              </w:rPr>
              <w:t>20.粮油物资储备支出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21.国有资本经营预算支出</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6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22.灾害防治及应急管理支出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r>
        <w:tblPrEx>
          <w:tblCellMar>
            <w:top w:w="15" w:type="dxa"/>
            <w:left w:w="15" w:type="dxa"/>
            <w:bottom w:w="15" w:type="dxa"/>
            <w:right w:w="15" w:type="dxa"/>
          </w:tblCellMar>
        </w:tblPrEx>
        <w:trPr>
          <w:trHeight w:val="369" w:hRule="atLeast"/>
        </w:trPr>
        <w:tc>
          <w:tcPr>
            <w:tcW w:w="144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p>
        </w:tc>
        <w:tc>
          <w:tcPr>
            <w:tcW w:w="1038" w:type="dxa"/>
            <w:tcBorders>
              <w:top w:val="single" w:color="000000" w:sz="4" w:space="0"/>
              <w:left w:val="single" w:color="000000" w:sz="4" w:space="0"/>
              <w:bottom w:val="single" w:color="000000" w:sz="4" w:space="0"/>
              <w:right w:val="single" w:color="000000" w:sz="4" w:space="0"/>
            </w:tcBorders>
            <w:vAlign w:val="center"/>
          </w:tcPr>
          <w:p>
            <w:pPr>
              <w:widowControl/>
              <w:jc w:val="right"/>
              <w:textAlignment w:val="center"/>
              <w:rPr>
                <w:rFonts w:ascii="宋体" w:hAnsi="宋体" w:cs="宋体"/>
                <w:color w:val="000000"/>
                <w:sz w:val="18"/>
                <w:szCs w:val="18"/>
              </w:rPr>
            </w:pPr>
          </w:p>
        </w:tc>
        <w:tc>
          <w:tcPr>
            <w:tcW w:w="2330" w:type="dxa"/>
            <w:tcBorders>
              <w:top w:val="single" w:color="000000" w:sz="4" w:space="0"/>
              <w:left w:val="single" w:color="000000" w:sz="4" w:space="0"/>
              <w:bottom w:val="single" w:color="000000" w:sz="4" w:space="0"/>
              <w:right w:val="single" w:color="000000" w:sz="4" w:space="0"/>
            </w:tcBorders>
            <w:vAlign w:val="center"/>
          </w:tcPr>
          <w:p>
            <w:pPr>
              <w:widowControl/>
              <w:textAlignment w:val="center"/>
              <w:rPr>
                <w:rFonts w:ascii="宋体" w:hAnsi="宋体" w:cs="宋体"/>
                <w:color w:val="000000"/>
                <w:kern w:val="0"/>
                <w:sz w:val="18"/>
                <w:szCs w:val="18"/>
              </w:rPr>
            </w:pPr>
            <w:r>
              <w:rPr>
                <w:rFonts w:hint="eastAsia" w:ascii="宋体" w:hAnsi="宋体" w:cs="宋体"/>
                <w:color w:val="000000"/>
                <w:kern w:val="0"/>
                <w:sz w:val="18"/>
                <w:szCs w:val="18"/>
              </w:rPr>
              <w:t>23.其他支出</w:t>
            </w:r>
          </w:p>
        </w:tc>
        <w:tc>
          <w:tcPr>
            <w:tcW w:w="808" w:type="dxa"/>
            <w:tcBorders>
              <w:top w:val="single" w:color="000000" w:sz="4" w:space="0"/>
              <w:bottom w:val="single" w:color="000000" w:sz="4" w:space="0"/>
              <w:right w:val="single" w:color="000000" w:sz="4" w:space="0"/>
            </w:tcBorders>
            <w:vAlign w:val="center"/>
          </w:tcPr>
          <w:p>
            <w:pPr>
              <w:widowControl/>
              <w:ind w:firstLine="210" w:firstLineChars="100"/>
              <w:jc w:val="left"/>
              <w:textAlignment w:val="center"/>
              <w:rPr>
                <w:rFonts w:ascii="宋体" w:hAnsi="宋体" w:cs="宋体"/>
                <w:color w:val="000000"/>
                <w:kern w:val="0"/>
                <w:szCs w:val="21"/>
              </w:rPr>
            </w:pPr>
          </w:p>
        </w:tc>
        <w:tc>
          <w:tcPr>
            <w:tcW w:w="1015"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66"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c>
          <w:tcPr>
            <w:tcW w:w="1165" w:type="dxa"/>
            <w:tcBorders>
              <w:top w:val="single" w:color="000000" w:sz="4" w:space="0"/>
              <w:bottom w:val="single" w:color="000000" w:sz="4" w:space="0"/>
              <w:right w:val="single" w:color="000000" w:sz="4" w:space="0"/>
            </w:tcBorders>
            <w:vAlign w:val="center"/>
          </w:tcPr>
          <w:p>
            <w:pPr>
              <w:rPr>
                <w:rFonts w:ascii="宋体" w:hAnsi="宋体" w:cs="宋体"/>
                <w:b/>
                <w:color w:val="000000"/>
                <w:szCs w:val="21"/>
              </w:rPr>
            </w:pPr>
          </w:p>
        </w:tc>
      </w:tr>
    </w:tbl>
    <w:p>
      <w:pPr>
        <w:jc w:val="center"/>
        <w:rPr>
          <w:rFonts w:ascii="宋体" w:hAnsi="宋体" w:cs="宋体"/>
          <w:b/>
          <w:bCs/>
          <w:sz w:val="32"/>
          <w:szCs w:val="32"/>
        </w:rPr>
      </w:pPr>
      <w:r>
        <w:rPr>
          <w:rFonts w:hint="eastAsia" w:ascii="宋体" w:hAnsi="宋体" w:cs="宋体"/>
          <w:b/>
          <w:bCs/>
          <w:sz w:val="32"/>
          <w:szCs w:val="32"/>
        </w:rPr>
        <w:t xml:space="preserve">财政拨款收入支出决算总表 </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公开04表</w:t>
      </w:r>
    </w:p>
    <w:p>
      <w:pPr>
        <w:ind w:left="7590" w:hanging="7590" w:hangingChars="3600"/>
        <w:jc w:val="left"/>
        <w:rPr>
          <w:rFonts w:ascii="宋体" w:hAnsi="宋体" w:cs="宋体"/>
          <w:b/>
          <w:bCs/>
          <w:szCs w:val="21"/>
        </w:rPr>
      </w:pPr>
      <w:r>
        <w:rPr>
          <w:rFonts w:hint="eastAsia" w:ascii="宋体" w:hAnsi="宋体" w:cs="宋体"/>
          <w:b/>
          <w:bCs/>
          <w:szCs w:val="21"/>
        </w:rPr>
        <w:t>编制部门：陕西省农林水利气象工会委员会                                金额单位：万元</w:t>
      </w:r>
    </w:p>
    <w:tbl>
      <w:tblPr>
        <w:tblStyle w:val="9"/>
        <w:tblW w:w="8954" w:type="dxa"/>
        <w:tblInd w:w="0" w:type="dxa"/>
        <w:tblLayout w:type="fixed"/>
        <w:tblCellMar>
          <w:top w:w="15" w:type="dxa"/>
          <w:left w:w="15" w:type="dxa"/>
          <w:bottom w:w="15" w:type="dxa"/>
          <w:right w:w="15" w:type="dxa"/>
        </w:tblCellMar>
      </w:tblPr>
      <w:tblGrid>
        <w:gridCol w:w="1534"/>
        <w:gridCol w:w="958"/>
        <w:gridCol w:w="2319"/>
        <w:gridCol w:w="808"/>
        <w:gridCol w:w="1015"/>
        <w:gridCol w:w="1166"/>
        <w:gridCol w:w="1154"/>
      </w:tblGrid>
      <w:tr>
        <w:tblPrEx>
          <w:tblCellMar>
            <w:top w:w="15" w:type="dxa"/>
            <w:left w:w="15" w:type="dxa"/>
            <w:bottom w:w="15" w:type="dxa"/>
            <w:right w:w="15" w:type="dxa"/>
          </w:tblCellMar>
        </w:tblPrEx>
        <w:trPr>
          <w:trHeight w:val="607" w:hRule="atLeast"/>
        </w:trPr>
        <w:tc>
          <w:tcPr>
            <w:tcW w:w="249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收入</w:t>
            </w:r>
          </w:p>
        </w:tc>
        <w:tc>
          <w:tcPr>
            <w:tcW w:w="6462"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sz w:val="18"/>
                <w:szCs w:val="18"/>
              </w:rPr>
              <w:t>支出</w:t>
            </w:r>
          </w:p>
        </w:tc>
      </w:tr>
      <w:tr>
        <w:tblPrEx>
          <w:tblCellMar>
            <w:top w:w="15" w:type="dxa"/>
            <w:left w:w="15" w:type="dxa"/>
            <w:bottom w:w="15" w:type="dxa"/>
            <w:right w:w="15" w:type="dxa"/>
          </w:tblCellMar>
        </w:tblPrEx>
        <w:trPr>
          <w:trHeight w:val="1020"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    目</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决算数</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项目</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合计</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一般公共预</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算财政拨款</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政府性基金</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国有资本经营</w:t>
            </w:r>
          </w:p>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预算财政拨款</w:t>
            </w: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85.85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85.85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kern w:val="0"/>
                <w:szCs w:val="21"/>
              </w:rPr>
            </w:pPr>
            <w:r>
              <w:rPr>
                <w:rFonts w:hint="eastAsia" w:ascii="宋体" w:hAnsi="宋体" w:cs="宋体"/>
                <w:bCs/>
                <w:color w:val="000000"/>
                <w:kern w:val="0"/>
                <w:szCs w:val="21"/>
              </w:rPr>
              <w:t>85.85</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年初财政拨款</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结转和结余</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年末财政拨款</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结转和结余</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一般公共预算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Cs/>
                <w:color w:val="000000"/>
                <w:kern w:val="0"/>
                <w:sz w:val="18"/>
                <w:szCs w:val="18"/>
              </w:rPr>
              <w:t>85.85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政府性基金预算</w:t>
            </w:r>
          </w:p>
          <w:p>
            <w:pPr>
              <w:widowControl/>
              <w:jc w:val="center"/>
              <w:textAlignment w:val="center"/>
              <w:rPr>
                <w:rFonts w:ascii="宋体" w:hAnsi="宋体" w:cs="宋体"/>
                <w:b/>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796"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ind w:left="360" w:hanging="360" w:hangingChars="200"/>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国有资本经营</w:t>
            </w:r>
          </w:p>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财政拨款</w:t>
            </w:r>
          </w:p>
        </w:tc>
        <w:tc>
          <w:tcPr>
            <w:tcW w:w="95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r>
        <w:tblPrEx>
          <w:tblCellMar>
            <w:top w:w="15" w:type="dxa"/>
            <w:left w:w="15" w:type="dxa"/>
            <w:bottom w:w="15" w:type="dxa"/>
            <w:right w:w="15" w:type="dxa"/>
          </w:tblCellMar>
        </w:tblPrEx>
        <w:trPr>
          <w:trHeight w:val="601" w:hRule="atLeast"/>
        </w:trPr>
        <w:tc>
          <w:tcPr>
            <w:tcW w:w="153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收入总计</w:t>
            </w:r>
          </w:p>
        </w:tc>
        <w:tc>
          <w:tcPr>
            <w:tcW w:w="95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kern w:val="0"/>
                <w:sz w:val="18"/>
                <w:szCs w:val="18"/>
              </w:rPr>
            </w:pPr>
            <w:r>
              <w:rPr>
                <w:rFonts w:hint="eastAsia" w:ascii="宋体" w:hAnsi="宋体" w:cs="宋体"/>
                <w:bCs/>
                <w:color w:val="000000"/>
                <w:kern w:val="0"/>
                <w:sz w:val="18"/>
                <w:szCs w:val="18"/>
              </w:rPr>
              <w:t>85.85</w:t>
            </w:r>
          </w:p>
        </w:tc>
        <w:tc>
          <w:tcPr>
            <w:tcW w:w="231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支出总计</w:t>
            </w:r>
          </w:p>
        </w:tc>
        <w:tc>
          <w:tcPr>
            <w:tcW w:w="80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Cs/>
                <w:color w:val="000000"/>
                <w:kern w:val="0"/>
                <w:szCs w:val="21"/>
              </w:rPr>
              <w:t>85.85</w:t>
            </w:r>
          </w:p>
        </w:tc>
        <w:tc>
          <w:tcPr>
            <w:tcW w:w="101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Cs/>
                <w:color w:val="000000"/>
                <w:kern w:val="0"/>
                <w:szCs w:val="21"/>
              </w:rPr>
              <w:t>85.85</w:t>
            </w:r>
          </w:p>
        </w:tc>
        <w:tc>
          <w:tcPr>
            <w:tcW w:w="116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c>
          <w:tcPr>
            <w:tcW w:w="115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p>
        </w:tc>
      </w:tr>
    </w:tbl>
    <w:p>
      <w:pPr>
        <w:rPr>
          <w:rFonts w:ascii="宋体" w:hAnsi="宋体" w:cs="宋体"/>
          <w:szCs w:val="21"/>
        </w:rPr>
      </w:pPr>
    </w:p>
    <w:p>
      <w:pPr>
        <w:widowControl/>
        <w:jc w:val="left"/>
      </w:pPr>
      <w:r>
        <w:rPr>
          <w:rFonts w:hint="eastAsia" w:ascii="宋体" w:hAnsi="宋体" w:cs="宋体"/>
          <w:szCs w:val="21"/>
        </w:rPr>
        <w:t>注：本表反映部门本年度一般公共预算财政拨款和政府性基金预算财政拨款的总收支和年末结转结余情况。</w:t>
      </w:r>
      <w:r>
        <w:rPr>
          <w:rFonts w:hint="eastAsia" w:ascii="宋体" w:hAnsi="宋体" w:cs="宋体"/>
          <w:color w:val="000000"/>
          <w:kern w:val="0"/>
          <w:szCs w:val="21"/>
        </w:rPr>
        <w:t>本表金额转换为万元时，因四舍五入可能存在尾差。</w:t>
      </w:r>
    </w:p>
    <w:p>
      <w:pPr>
        <w:rPr>
          <w:rFonts w:ascii="仿宋_GB2312" w:hAnsi="仿宋_GB2312" w:eastAsia="仿宋_GB2312" w:cs="仿宋_GB2312"/>
          <w:sz w:val="32"/>
          <w:szCs w:val="32"/>
        </w:rPr>
      </w:pPr>
    </w:p>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jc w:val="center"/>
        <w:rPr>
          <w:rFonts w:ascii="宋体" w:hAnsi="宋体" w:cs="宋体"/>
          <w:b/>
          <w:bCs/>
          <w:sz w:val="32"/>
          <w:szCs w:val="32"/>
        </w:rPr>
      </w:pPr>
      <w:r>
        <w:rPr>
          <w:rFonts w:hint="eastAsia" w:ascii="宋体" w:hAnsi="宋体" w:cs="宋体"/>
          <w:b/>
          <w:bCs/>
          <w:sz w:val="32"/>
          <w:szCs w:val="32"/>
        </w:rPr>
        <w:t>一般公共预算财政拨款支出决算表（按功能分类科目）</w:t>
      </w:r>
    </w:p>
    <w:p>
      <w:pPr>
        <w:rPr>
          <w:rFonts w:ascii="宋体" w:hAnsi="宋体" w:cs="宋体"/>
          <w:b/>
          <w:bCs/>
          <w:szCs w:val="21"/>
        </w:rPr>
      </w:pPr>
      <w:r>
        <w:rPr>
          <w:rFonts w:hint="eastAsia" w:ascii="宋体" w:hAnsi="宋体" w:cs="宋体"/>
          <w:b/>
          <w:bCs/>
          <w:szCs w:val="21"/>
        </w:rPr>
        <w:t xml:space="preserve">                                                                         公开05表</w:t>
      </w:r>
    </w:p>
    <w:p>
      <w:pPr>
        <w:ind w:left="7800" w:hanging="7800" w:hangingChars="3700"/>
        <w:jc w:val="left"/>
        <w:rPr>
          <w:rFonts w:ascii="宋体" w:hAnsi="宋体" w:cs="宋体"/>
          <w:b/>
          <w:bCs/>
          <w:szCs w:val="21"/>
        </w:rPr>
      </w:pPr>
      <w:r>
        <w:rPr>
          <w:rFonts w:hint="eastAsia" w:ascii="宋体" w:hAnsi="宋体" w:cs="宋体"/>
          <w:b/>
          <w:bCs/>
          <w:szCs w:val="21"/>
        </w:rPr>
        <w:t>编制部门：陕西省农林水利气象工会委员会                              金额单位：万元</w:t>
      </w:r>
    </w:p>
    <w:tbl>
      <w:tblPr>
        <w:tblStyle w:val="9"/>
        <w:tblW w:w="8777" w:type="dxa"/>
        <w:tblInd w:w="0" w:type="dxa"/>
        <w:tblLayout w:type="fixed"/>
        <w:tblCellMar>
          <w:top w:w="15" w:type="dxa"/>
          <w:left w:w="15" w:type="dxa"/>
          <w:bottom w:w="15" w:type="dxa"/>
          <w:right w:w="15" w:type="dxa"/>
        </w:tblCellMar>
      </w:tblPr>
      <w:tblGrid>
        <w:gridCol w:w="1170"/>
        <w:gridCol w:w="1537"/>
        <w:gridCol w:w="1006"/>
        <w:gridCol w:w="1020"/>
        <w:gridCol w:w="935"/>
        <w:gridCol w:w="1039"/>
        <w:gridCol w:w="1020"/>
        <w:gridCol w:w="1050"/>
      </w:tblGrid>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0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2994"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05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06"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3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03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02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5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14" w:hRule="atLeast"/>
        </w:trPr>
        <w:tc>
          <w:tcPr>
            <w:tcW w:w="2707"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b/>
                <w:bCs/>
                <w:color w:val="000000"/>
                <w:kern w:val="0"/>
                <w:szCs w:val="21"/>
              </w:rPr>
              <w:t>合计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85.85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85.81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0.04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201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一般公共服务</w:t>
            </w:r>
          </w:p>
          <w:p>
            <w:pPr>
              <w:widowControl/>
              <w:jc w:val="center"/>
              <w:textAlignment w:val="center"/>
              <w:rPr>
                <w:rFonts w:ascii="宋体" w:hAnsi="宋体" w:cs="宋体"/>
                <w:color w:val="000000"/>
                <w:szCs w:val="21"/>
              </w:rPr>
            </w:pPr>
            <w:r>
              <w:rPr>
                <w:rFonts w:hint="eastAsia" w:ascii="宋体" w:hAnsi="宋体" w:cs="宋体"/>
                <w:color w:val="000000"/>
                <w:kern w:val="0"/>
                <w:szCs w:val="21"/>
              </w:rPr>
              <w:t>支出</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20129</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群众团体事务</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781"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2012901</w:t>
            </w:r>
          </w:p>
        </w:tc>
        <w:tc>
          <w:tcPr>
            <w:tcW w:w="153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行政运行</w:t>
            </w: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85.85</w:t>
            </w: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85.81</w:t>
            </w: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14" w:hRule="atLeast"/>
        </w:trPr>
        <w:tc>
          <w:tcPr>
            <w:tcW w:w="117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53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006"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3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3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5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注：本表反映部门本年度一般公共预算财政拨款实际支出情况。</w:t>
      </w:r>
      <w:r>
        <w:rPr>
          <w:rFonts w:hint="eastAsia" w:ascii="宋体" w:hAnsi="宋体" w:cs="宋体"/>
          <w:color w:val="000000"/>
          <w:kern w:val="0"/>
          <w:szCs w:val="21"/>
        </w:rPr>
        <w:t>本表金额转换为万元时，因四舍五入可能存在尾差。</w:t>
      </w:r>
    </w:p>
    <w:p>
      <w:pPr>
        <w:rPr>
          <w:rFonts w:ascii="宋体" w:hAnsi="宋体" w:cs="宋体"/>
          <w:b/>
          <w:bCs/>
          <w:sz w:val="32"/>
          <w:szCs w:val="32"/>
        </w:rPr>
      </w:pPr>
      <w:r>
        <w:rPr>
          <w:rFonts w:hint="eastAsia" w:ascii="宋体" w:hAnsi="宋体" w:cs="宋体"/>
          <w:b/>
          <w:bCs/>
          <w:sz w:val="32"/>
          <w:szCs w:val="32"/>
        </w:rPr>
        <w:br w:type="page"/>
      </w:r>
    </w:p>
    <w:p>
      <w:pPr>
        <w:jc w:val="center"/>
        <w:rPr>
          <w:rFonts w:ascii="宋体" w:hAnsi="宋体" w:cs="宋体"/>
          <w:b/>
          <w:bCs/>
          <w:sz w:val="32"/>
          <w:szCs w:val="32"/>
        </w:rPr>
      </w:pPr>
      <w:r>
        <w:rPr>
          <w:rFonts w:hint="eastAsia" w:ascii="宋体" w:hAnsi="宋体" w:cs="宋体"/>
          <w:b/>
          <w:bCs/>
          <w:sz w:val="32"/>
          <w:szCs w:val="32"/>
        </w:rPr>
        <w:t>一般公共预算财政拨款基本支出决算表（按经济分类科目）</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公</w:t>
      </w:r>
      <w:r>
        <w:rPr>
          <w:rFonts w:hint="eastAsia" w:ascii="宋体" w:hAnsi="宋体" w:cs="宋体"/>
          <w:b/>
          <w:bCs/>
          <w:szCs w:val="21"/>
        </w:rPr>
        <w:t>开06表</w:t>
      </w:r>
    </w:p>
    <w:p>
      <w:pPr>
        <w:ind w:left="7379" w:hanging="7379" w:hangingChars="3500"/>
        <w:jc w:val="left"/>
        <w:rPr>
          <w:rFonts w:ascii="宋体" w:hAnsi="宋体" w:cs="宋体"/>
          <w:b/>
          <w:bCs/>
          <w:szCs w:val="21"/>
        </w:rPr>
      </w:pPr>
      <w:r>
        <w:rPr>
          <w:rFonts w:hint="eastAsia" w:ascii="宋体" w:hAnsi="宋体" w:cs="宋体"/>
          <w:b/>
          <w:bCs/>
          <w:szCs w:val="21"/>
        </w:rPr>
        <w:t>编制部门： 陕西省农林水利气象工会委员会                              金额单位：万元</w:t>
      </w:r>
    </w:p>
    <w:tbl>
      <w:tblPr>
        <w:tblStyle w:val="9"/>
        <w:tblW w:w="8817" w:type="dxa"/>
        <w:tblInd w:w="0" w:type="dxa"/>
        <w:tblLayout w:type="fixed"/>
        <w:tblCellMar>
          <w:top w:w="15" w:type="dxa"/>
          <w:left w:w="15" w:type="dxa"/>
          <w:bottom w:w="15" w:type="dxa"/>
          <w:right w:w="15" w:type="dxa"/>
        </w:tblCellMar>
      </w:tblPr>
      <w:tblGrid>
        <w:gridCol w:w="1157"/>
        <w:gridCol w:w="2282"/>
        <w:gridCol w:w="1423"/>
        <w:gridCol w:w="1437"/>
        <w:gridCol w:w="1363"/>
        <w:gridCol w:w="1155"/>
      </w:tblGrid>
      <w:tr>
        <w:tblPrEx>
          <w:tblCellMar>
            <w:top w:w="15" w:type="dxa"/>
            <w:left w:w="15" w:type="dxa"/>
            <w:bottom w:w="15" w:type="dxa"/>
            <w:right w:w="15" w:type="dxa"/>
          </w:tblCellMar>
        </w:tblPrEx>
        <w:trPr>
          <w:trHeight w:val="434" w:hRule="atLeast"/>
        </w:trPr>
        <w:tc>
          <w:tcPr>
            <w:tcW w:w="3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42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本年支出合计</w:t>
            </w:r>
          </w:p>
        </w:tc>
        <w:tc>
          <w:tcPr>
            <w:tcW w:w="143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人员经费</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公用经费</w:t>
            </w:r>
          </w:p>
        </w:tc>
        <w:tc>
          <w:tcPr>
            <w:tcW w:w="115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备注</w:t>
            </w:r>
          </w:p>
        </w:tc>
      </w:tr>
      <w:tr>
        <w:tblPrEx>
          <w:tblCellMar>
            <w:top w:w="15" w:type="dxa"/>
            <w:left w:w="15" w:type="dxa"/>
            <w:bottom w:w="15" w:type="dxa"/>
            <w:right w:w="15" w:type="dxa"/>
          </w:tblCellMar>
        </w:tblPrEx>
        <w:trPr>
          <w:trHeight w:val="670"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经济分类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42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3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5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3439"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42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85.85</w:t>
            </w:r>
          </w:p>
        </w:tc>
        <w:tc>
          <w:tcPr>
            <w:tcW w:w="1437"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85.81</w:t>
            </w:r>
          </w:p>
        </w:tc>
        <w:tc>
          <w:tcPr>
            <w:tcW w:w="1363"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r>
              <w:rPr>
                <w:rFonts w:hint="eastAsia" w:ascii="宋体" w:hAnsi="宋体" w:cs="宋体"/>
                <w:b/>
                <w:color w:val="000000"/>
                <w:szCs w:val="21"/>
              </w:rPr>
              <w:t>0.04</w:t>
            </w:r>
          </w:p>
        </w:tc>
        <w:tc>
          <w:tcPr>
            <w:tcW w:w="1155" w:type="dxa"/>
            <w:tcBorders>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301</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工资福利支出 </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85.81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30101</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基本工资</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40.08</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40.08</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 xml:space="preserve">  30102</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津贴补贴</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21.42</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21.42</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30103</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奖金</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8.4</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30108</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机关事业单位养老保险缴费</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3.57</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3.57</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30110</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职工基本医疗保险缴费</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4.01</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4.01</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30113</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住房公积金</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7.36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7.36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color w:val="000000"/>
                <w:kern w:val="0"/>
                <w:szCs w:val="21"/>
              </w:rPr>
            </w:pPr>
            <w:r>
              <w:rPr>
                <w:rFonts w:hint="eastAsia" w:ascii="宋体" w:hAnsi="宋体" w:cs="宋体"/>
                <w:color w:val="000000"/>
                <w:kern w:val="0"/>
                <w:szCs w:val="21"/>
              </w:rPr>
              <w:t>30199</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r>
              <w:rPr>
                <w:rFonts w:hint="eastAsia" w:ascii="宋体" w:hAnsi="宋体" w:cs="宋体"/>
                <w:color w:val="000000"/>
                <w:szCs w:val="21"/>
              </w:rPr>
              <w:t>其他工资福利支出</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0.96</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0.96</w:t>
            </w: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302</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商品和服务支出</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30211</w:t>
            </w:r>
          </w:p>
        </w:tc>
        <w:tc>
          <w:tcPr>
            <w:tcW w:w="2282"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r>
              <w:rPr>
                <w:rFonts w:hint="eastAsia" w:ascii="宋体" w:hAnsi="宋体" w:cs="宋体"/>
                <w:color w:val="000000"/>
                <w:kern w:val="0"/>
                <w:szCs w:val="21"/>
              </w:rPr>
              <w:t>差旅费</w:t>
            </w: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r>
              <w:rPr>
                <w:rFonts w:hint="eastAsia" w:ascii="宋体" w:hAnsi="宋体" w:cs="宋体"/>
                <w:color w:val="000000"/>
                <w:szCs w:val="21"/>
              </w:rPr>
              <w:t>0.04</w:t>
            </w: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szCs w:val="21"/>
              </w:rPr>
            </w:pPr>
            <w:r>
              <w:rPr>
                <w:rFonts w:hint="eastAsia" w:ascii="宋体" w:hAnsi="宋体" w:cs="宋体"/>
                <w:color w:val="000000"/>
                <w:kern w:val="0"/>
                <w:szCs w:val="21"/>
              </w:rPr>
              <w:t>……</w:t>
            </w: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3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44" w:hRule="atLeast"/>
        </w:trPr>
        <w:tc>
          <w:tcPr>
            <w:tcW w:w="1157"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宋体" w:hAnsi="宋体" w:cs="宋体"/>
                <w:color w:val="000000"/>
                <w:kern w:val="0"/>
                <w:szCs w:val="21"/>
              </w:rPr>
            </w:pPr>
          </w:p>
        </w:tc>
        <w:tc>
          <w:tcPr>
            <w:tcW w:w="2282"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437"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36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155"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注：本表反映部门本年度一般公共预算财政拨款基本支出明细情况。</w:t>
      </w:r>
      <w:r>
        <w:rPr>
          <w:rFonts w:hint="eastAsia" w:ascii="宋体" w:hAnsi="宋体" w:cs="宋体"/>
          <w:color w:val="000000"/>
          <w:kern w:val="0"/>
          <w:szCs w:val="21"/>
        </w:rPr>
        <w:t>本表金额转换为万元时，因四舍五入可能存在尾差。</w:t>
      </w:r>
    </w:p>
    <w:p>
      <w:pPr>
        <w:jc w:val="center"/>
        <w:rPr>
          <w:rFonts w:ascii="宋体" w:hAnsi="宋体" w:cs="宋体"/>
          <w:b/>
          <w:bCs/>
          <w:sz w:val="32"/>
          <w:szCs w:val="32"/>
        </w:rPr>
      </w:pPr>
      <w:r>
        <w:rPr>
          <w:rFonts w:hint="eastAsia" w:ascii="宋体" w:hAnsi="宋体" w:cs="宋体"/>
          <w:b/>
          <w:bCs/>
          <w:sz w:val="32"/>
          <w:szCs w:val="32"/>
        </w:rPr>
        <w:br w:type="page"/>
      </w:r>
      <w:r>
        <w:rPr>
          <w:rFonts w:hint="eastAsia" w:ascii="宋体" w:hAnsi="宋体" w:cs="宋体"/>
          <w:b/>
          <w:bCs/>
          <w:sz w:val="32"/>
          <w:szCs w:val="32"/>
        </w:rPr>
        <w:t>一般公共预算财政拨款“三公”经费</w:t>
      </w:r>
    </w:p>
    <w:p>
      <w:pPr>
        <w:spacing w:line="520" w:lineRule="exact"/>
        <w:jc w:val="center"/>
        <w:rPr>
          <w:rFonts w:ascii="宋体" w:hAnsi="宋体" w:cs="宋体"/>
          <w:b/>
          <w:bCs/>
          <w:sz w:val="32"/>
          <w:szCs w:val="32"/>
        </w:rPr>
      </w:pPr>
      <w:r>
        <w:rPr>
          <w:rFonts w:hint="eastAsia" w:ascii="宋体" w:hAnsi="宋体" w:cs="宋体"/>
          <w:b/>
          <w:bCs/>
          <w:sz w:val="32"/>
          <w:szCs w:val="32"/>
        </w:rPr>
        <w:t>及会议费、培训费支出决算表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 xml:space="preserve">        公开07表</w:t>
      </w:r>
    </w:p>
    <w:p>
      <w:pPr>
        <w:ind w:left="7590" w:hanging="7590" w:hangingChars="3600"/>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eastAsia="zh-CN"/>
        </w:rPr>
        <w:t>：</w:t>
      </w:r>
      <w:r>
        <w:rPr>
          <w:rFonts w:hint="eastAsia" w:ascii="宋体" w:hAnsi="宋体" w:cs="宋体"/>
          <w:b/>
          <w:bCs/>
          <w:szCs w:val="21"/>
          <w:lang w:val="en-US" w:eastAsia="zh-CN"/>
        </w:rPr>
        <w:t>陕西省农林水利气象工会委员会</w:t>
      </w:r>
      <w:r>
        <w:rPr>
          <w:rFonts w:hint="eastAsia" w:ascii="宋体" w:hAnsi="宋体" w:cs="宋体"/>
          <w:b/>
          <w:bCs/>
          <w:szCs w:val="21"/>
        </w:rPr>
        <w:t xml:space="preserve">                                金额单位：万元</w:t>
      </w:r>
    </w:p>
    <w:tbl>
      <w:tblPr>
        <w:tblStyle w:val="9"/>
        <w:tblW w:w="8858" w:type="dxa"/>
        <w:tblInd w:w="0" w:type="dxa"/>
        <w:tblLayout w:type="fixed"/>
        <w:tblCellMar>
          <w:top w:w="15" w:type="dxa"/>
          <w:left w:w="15" w:type="dxa"/>
          <w:bottom w:w="15" w:type="dxa"/>
          <w:right w:w="15" w:type="dxa"/>
        </w:tblCellMar>
      </w:tblPr>
      <w:tblGrid>
        <w:gridCol w:w="1079"/>
        <w:gridCol w:w="985"/>
        <w:gridCol w:w="1117"/>
        <w:gridCol w:w="878"/>
        <w:gridCol w:w="878"/>
        <w:gridCol w:w="998"/>
        <w:gridCol w:w="1189"/>
        <w:gridCol w:w="772"/>
        <w:gridCol w:w="962"/>
      </w:tblGrid>
      <w:tr>
        <w:tblPrEx>
          <w:tblCellMar>
            <w:top w:w="15" w:type="dxa"/>
            <w:left w:w="15" w:type="dxa"/>
            <w:bottom w:w="15" w:type="dxa"/>
            <w:right w:w="15" w:type="dxa"/>
          </w:tblCellMar>
        </w:tblPrEx>
        <w:trPr>
          <w:trHeight w:val="726" w:hRule="atLeast"/>
        </w:trPr>
        <w:tc>
          <w:tcPr>
            <w:tcW w:w="107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w:t>
            </w:r>
          </w:p>
        </w:tc>
        <w:tc>
          <w:tcPr>
            <w:tcW w:w="604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一般公共预算财政拨款安排的“三公”经费</w:t>
            </w:r>
          </w:p>
        </w:tc>
        <w:tc>
          <w:tcPr>
            <w:tcW w:w="77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会议费</w:t>
            </w:r>
          </w:p>
        </w:tc>
        <w:tc>
          <w:tcPr>
            <w:tcW w:w="96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培训费</w:t>
            </w: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117"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因公出国（境）费用</w:t>
            </w:r>
          </w:p>
        </w:tc>
        <w:tc>
          <w:tcPr>
            <w:tcW w:w="878"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公务</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接待费</w:t>
            </w:r>
          </w:p>
        </w:tc>
        <w:tc>
          <w:tcPr>
            <w:tcW w:w="306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公务用车购置及运行维护费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53"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公务用车购置费</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公务用车运行维护费</w:t>
            </w:r>
          </w:p>
        </w:tc>
        <w:tc>
          <w:tcPr>
            <w:tcW w:w="77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26" w:hRule="atLeast"/>
        </w:trPr>
        <w:tc>
          <w:tcPr>
            <w:tcW w:w="107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8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1</w:t>
            </w:r>
          </w:p>
        </w:tc>
        <w:tc>
          <w:tcPr>
            <w:tcW w:w="111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2</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3</w:t>
            </w:r>
          </w:p>
        </w:tc>
        <w:tc>
          <w:tcPr>
            <w:tcW w:w="87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4</w:t>
            </w:r>
          </w:p>
        </w:tc>
        <w:tc>
          <w:tcPr>
            <w:tcW w:w="998"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5</w:t>
            </w:r>
          </w:p>
        </w:tc>
        <w:tc>
          <w:tcPr>
            <w:tcW w:w="118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6</w:t>
            </w:r>
          </w:p>
        </w:tc>
        <w:tc>
          <w:tcPr>
            <w:tcW w:w="7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7</w:t>
            </w:r>
          </w:p>
        </w:tc>
        <w:tc>
          <w:tcPr>
            <w:tcW w:w="96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Cs/>
                <w:color w:val="000000"/>
                <w:szCs w:val="21"/>
              </w:rPr>
            </w:pPr>
            <w:r>
              <w:rPr>
                <w:rFonts w:hint="eastAsia" w:ascii="宋体" w:hAnsi="宋体" w:cs="宋体"/>
                <w:bCs/>
                <w:color w:val="000000"/>
                <w:kern w:val="0"/>
                <w:szCs w:val="21"/>
              </w:rPr>
              <w:t>8</w:t>
            </w:r>
          </w:p>
        </w:tc>
      </w:tr>
      <w:tr>
        <w:tblPrEx>
          <w:tblCellMar>
            <w:top w:w="15" w:type="dxa"/>
            <w:left w:w="15" w:type="dxa"/>
            <w:bottom w:w="15" w:type="dxa"/>
            <w:right w:w="15" w:type="dxa"/>
          </w:tblCellMar>
        </w:tblPrEx>
        <w:trPr>
          <w:trHeight w:val="726"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预算数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738" w:hRule="atLeast"/>
        </w:trPr>
        <w:tc>
          <w:tcPr>
            <w:tcW w:w="107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决算数</w:t>
            </w:r>
          </w:p>
        </w:tc>
        <w:tc>
          <w:tcPr>
            <w:tcW w:w="985"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1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87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8"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18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77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62"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bl>
    <w:p>
      <w:pPr>
        <w:widowControl/>
        <w:jc w:val="left"/>
        <w:rPr>
          <w:rFonts w:ascii="宋体" w:hAnsi="宋体" w:cs="宋体"/>
          <w:szCs w:val="21"/>
        </w:rPr>
      </w:pPr>
      <w:r>
        <w:rPr>
          <w:rFonts w:hint="eastAsia" w:ascii="宋体" w:hAnsi="宋体" w:cs="宋体"/>
          <w:szCs w:val="21"/>
        </w:rPr>
        <w:t>注：本表反映部门本年度一般公共预算财政拨款“三公”经费、会议费、培训费的支出预决算情况。其中，预算数为全年预算数，反映按规定程序调整后的预算数；决算数是包括当年一般公共预算财政拨款和以前年度结转资金安排的实际支出。 本表金额转换为万元时，因四舍五入可能存在尾差。</w:t>
      </w: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rPr>
          <w:rFonts w:ascii="宋体" w:hAnsi="宋体" w:cs="宋体"/>
          <w:szCs w:val="21"/>
        </w:rPr>
      </w:pPr>
    </w:p>
    <w:p>
      <w:pPr>
        <w:jc w:val="center"/>
        <w:rPr>
          <w:rFonts w:ascii="宋体" w:hAnsi="宋体" w:cs="宋体"/>
          <w:b/>
          <w:bCs/>
          <w:sz w:val="32"/>
          <w:szCs w:val="32"/>
        </w:rPr>
      </w:pPr>
      <w:r>
        <w:rPr>
          <w:rFonts w:hint="eastAsia" w:ascii="宋体" w:hAnsi="宋体" w:cs="宋体"/>
          <w:b/>
          <w:bCs/>
          <w:sz w:val="32"/>
          <w:szCs w:val="32"/>
        </w:rPr>
        <w:t>政府性基金预算财政拨款收入支出决算表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公开08表</w:t>
      </w:r>
    </w:p>
    <w:p>
      <w:pPr>
        <w:ind w:left="7590" w:hanging="7590" w:hangingChars="3600"/>
        <w:rPr>
          <w:rFonts w:ascii="宋体" w:hAnsi="宋体" w:cs="宋体"/>
          <w:b/>
          <w:bCs/>
          <w:szCs w:val="21"/>
        </w:rPr>
      </w:pPr>
      <w:r>
        <w:rPr>
          <w:rFonts w:hint="eastAsia" w:ascii="宋体" w:hAnsi="宋体" w:cs="宋体"/>
          <w:b/>
          <w:bCs/>
          <w:szCs w:val="21"/>
        </w:rPr>
        <w:t>编制部门： 陕西省农林水利气象工会委员会                               金额单位：万元</w:t>
      </w:r>
    </w:p>
    <w:tbl>
      <w:tblPr>
        <w:tblStyle w:val="9"/>
        <w:tblW w:w="8877" w:type="dxa"/>
        <w:tblInd w:w="0" w:type="dxa"/>
        <w:tblLayout w:type="fixed"/>
        <w:tblCellMar>
          <w:top w:w="15" w:type="dxa"/>
          <w:left w:w="15" w:type="dxa"/>
          <w:bottom w:w="15" w:type="dxa"/>
          <w:right w:w="15" w:type="dxa"/>
        </w:tblCellMar>
      </w:tblPr>
      <w:tblGrid>
        <w:gridCol w:w="1023"/>
        <w:gridCol w:w="1341"/>
        <w:gridCol w:w="1049"/>
        <w:gridCol w:w="990"/>
        <w:gridCol w:w="930"/>
        <w:gridCol w:w="1049"/>
        <w:gridCol w:w="1024"/>
        <w:gridCol w:w="1471"/>
      </w:tblGrid>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1049"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年初结转和结余</w:t>
            </w:r>
          </w:p>
        </w:tc>
        <w:tc>
          <w:tcPr>
            <w:tcW w:w="99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本年收入</w:t>
            </w:r>
          </w:p>
        </w:tc>
        <w:tc>
          <w:tcPr>
            <w:tcW w:w="3003"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c>
          <w:tcPr>
            <w:tcW w:w="1471"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年末结转</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和结余</w:t>
            </w:r>
          </w:p>
        </w:tc>
      </w:tr>
      <w:tr>
        <w:tblPrEx>
          <w:tblCellMar>
            <w:top w:w="15" w:type="dxa"/>
            <w:left w:w="15" w:type="dxa"/>
            <w:bottom w:w="15" w:type="dxa"/>
            <w:right w:w="15" w:type="dxa"/>
          </w:tblCellMar>
        </w:tblPrEx>
        <w:trPr>
          <w:trHeight w:val="88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功能分类科目编码</w:t>
            </w:r>
          </w:p>
        </w:tc>
        <w:tc>
          <w:tcPr>
            <w:tcW w:w="134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049"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049"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024"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c>
          <w:tcPr>
            <w:tcW w:w="1471"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236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049" w:type="dxa"/>
            <w:tcBorders>
              <w:top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9"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491"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r>
        <w:tblPrEx>
          <w:tblCellMar>
            <w:top w:w="15" w:type="dxa"/>
            <w:left w:w="15" w:type="dxa"/>
            <w:bottom w:w="15" w:type="dxa"/>
            <w:right w:w="15" w:type="dxa"/>
          </w:tblCellMar>
        </w:tblPrEx>
        <w:trPr>
          <w:trHeight w:val="514" w:hRule="atLeast"/>
        </w:trPr>
        <w:tc>
          <w:tcPr>
            <w:tcW w:w="1023"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34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990"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93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49"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024"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c>
          <w:tcPr>
            <w:tcW w:w="147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r>
    </w:tbl>
    <w:p>
      <w:pPr>
        <w:widowControl/>
        <w:jc w:val="left"/>
      </w:pPr>
      <w:r>
        <w:rPr>
          <w:rFonts w:hint="eastAsia" w:ascii="宋体" w:hAnsi="宋体" w:cs="宋体"/>
          <w:szCs w:val="21"/>
        </w:rPr>
        <w:t>注：本表反映部门本年度政府性基金预算财政拨款收入、支出及结转和结余情况。</w:t>
      </w:r>
      <w:r>
        <w:rPr>
          <w:rFonts w:hint="eastAsia" w:ascii="宋体" w:hAnsi="宋体" w:cs="宋体"/>
          <w:color w:val="000000"/>
          <w:kern w:val="0"/>
          <w:szCs w:val="21"/>
        </w:rPr>
        <w:t>本表金额转换为万元时，因四舍五入可能存在尾差。</w:t>
      </w:r>
      <w:r>
        <w:rPr>
          <w:rFonts w:hint="eastAsia" w:ascii="黑体" w:hAnsi="宋体" w:eastAsia="黑体"/>
          <w:color w:val="000000"/>
          <w:kern w:val="0"/>
          <w:sz w:val="44"/>
          <w:szCs w:val="44"/>
          <w:lang w:bidi="ar"/>
        </w:rPr>
        <w:br w:type="page"/>
      </w:r>
    </w:p>
    <w:p>
      <w:pPr>
        <w:jc w:val="center"/>
        <w:rPr>
          <w:rFonts w:ascii="宋体" w:hAnsi="宋体" w:cs="宋体"/>
          <w:b/>
          <w:bCs/>
          <w:sz w:val="32"/>
          <w:szCs w:val="32"/>
        </w:rPr>
      </w:pPr>
      <w:r>
        <w:rPr>
          <w:rFonts w:hint="eastAsia" w:ascii="宋体" w:hAnsi="宋体" w:cs="宋体"/>
          <w:b/>
          <w:bCs/>
          <w:sz w:val="32"/>
          <w:szCs w:val="32"/>
        </w:rPr>
        <w:t>国有资本经营预算财政拨款支出决算表</w:t>
      </w:r>
    </w:p>
    <w:p>
      <w:pPr>
        <w:rPr>
          <w:rFonts w:ascii="宋体" w:hAnsi="宋体" w:cs="宋体"/>
          <w:b/>
          <w:bCs/>
          <w:szCs w:val="21"/>
        </w:rPr>
      </w:pPr>
      <w:r>
        <w:rPr>
          <w:rFonts w:hint="eastAsia" w:ascii="宋体" w:hAnsi="宋体" w:cs="宋体"/>
          <w:sz w:val="24"/>
        </w:rPr>
        <w:t xml:space="preserve">                        </w:t>
      </w:r>
      <w:r>
        <w:rPr>
          <w:rFonts w:hint="eastAsia" w:ascii="宋体" w:hAnsi="宋体" w:cs="宋体"/>
          <w:szCs w:val="21"/>
        </w:rPr>
        <w:t xml:space="preserve">                                                </w:t>
      </w:r>
      <w:r>
        <w:rPr>
          <w:rFonts w:hint="eastAsia" w:ascii="宋体" w:hAnsi="宋体" w:cs="宋体"/>
          <w:b/>
          <w:bCs/>
          <w:szCs w:val="21"/>
        </w:rPr>
        <w:t>公开09表</w:t>
      </w:r>
    </w:p>
    <w:p>
      <w:pPr>
        <w:ind w:left="7379" w:hanging="7379" w:hangingChars="3500"/>
        <w:rPr>
          <w:rFonts w:ascii="宋体" w:hAnsi="宋体" w:cs="宋体"/>
          <w:b/>
          <w:bCs/>
          <w:szCs w:val="21"/>
        </w:rPr>
      </w:pPr>
      <w:r>
        <w:rPr>
          <w:rFonts w:hint="eastAsia" w:ascii="宋体" w:hAnsi="宋体" w:cs="宋体"/>
          <w:b/>
          <w:bCs/>
          <w:szCs w:val="21"/>
        </w:rPr>
        <w:t>编制部门：</w:t>
      </w:r>
      <w:r>
        <w:rPr>
          <w:rFonts w:hint="eastAsia" w:ascii="宋体" w:hAnsi="宋体" w:cs="宋体"/>
          <w:b/>
          <w:bCs/>
          <w:szCs w:val="21"/>
          <w:lang w:val="en-US" w:eastAsia="zh-CN"/>
        </w:rPr>
        <w:t>陕西省农林水利气象工会委员会</w:t>
      </w:r>
      <w:r>
        <w:rPr>
          <w:rFonts w:hint="eastAsia" w:ascii="宋体" w:hAnsi="宋体" w:cs="宋体"/>
          <w:b/>
          <w:bCs/>
          <w:szCs w:val="21"/>
        </w:rPr>
        <w:t xml:space="preserve">                               金额单位：万元</w:t>
      </w:r>
    </w:p>
    <w:tbl>
      <w:tblPr>
        <w:tblStyle w:val="9"/>
        <w:tblW w:w="8873" w:type="dxa"/>
        <w:tblInd w:w="0" w:type="dxa"/>
        <w:tblLayout w:type="fixed"/>
        <w:tblCellMar>
          <w:top w:w="15" w:type="dxa"/>
          <w:left w:w="15" w:type="dxa"/>
          <w:bottom w:w="15" w:type="dxa"/>
          <w:right w:w="15" w:type="dxa"/>
        </w:tblCellMar>
      </w:tblPr>
      <w:tblGrid>
        <w:gridCol w:w="1672"/>
        <w:gridCol w:w="1870"/>
        <w:gridCol w:w="1523"/>
        <w:gridCol w:w="1881"/>
        <w:gridCol w:w="1927"/>
      </w:tblGrid>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    目</w:t>
            </w:r>
          </w:p>
        </w:tc>
        <w:tc>
          <w:tcPr>
            <w:tcW w:w="5331" w:type="dxa"/>
            <w:gridSpan w:val="3"/>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本年支出</w:t>
            </w:r>
          </w:p>
        </w:tc>
      </w:tr>
      <w:tr>
        <w:tblPrEx>
          <w:tblCellMar>
            <w:top w:w="15" w:type="dxa"/>
            <w:left w:w="15" w:type="dxa"/>
            <w:bottom w:w="15" w:type="dxa"/>
            <w:right w:w="15" w:type="dxa"/>
          </w:tblCellMar>
        </w:tblPrEx>
        <w:trPr>
          <w:trHeight w:val="863"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Cs w:val="21"/>
              </w:rPr>
            </w:pPr>
            <w:r>
              <w:rPr>
                <w:rFonts w:hint="eastAsia" w:ascii="宋体" w:hAnsi="宋体" w:cs="宋体"/>
                <w:b/>
                <w:color w:val="000000"/>
                <w:kern w:val="0"/>
                <w:szCs w:val="21"/>
              </w:rPr>
              <w:t>功能分类</w:t>
            </w:r>
          </w:p>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科目编码</w:t>
            </w:r>
          </w:p>
        </w:tc>
        <w:tc>
          <w:tcPr>
            <w:tcW w:w="1870"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科目名称</w:t>
            </w:r>
          </w:p>
        </w:tc>
        <w:tc>
          <w:tcPr>
            <w:tcW w:w="152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小计</w:t>
            </w:r>
          </w:p>
        </w:tc>
        <w:tc>
          <w:tcPr>
            <w:tcW w:w="1881"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基本支出</w:t>
            </w:r>
          </w:p>
        </w:tc>
        <w:tc>
          <w:tcPr>
            <w:tcW w:w="1927"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项目支出</w:t>
            </w:r>
          </w:p>
        </w:tc>
      </w:tr>
      <w:tr>
        <w:tblPrEx>
          <w:tblCellMar>
            <w:top w:w="15" w:type="dxa"/>
            <w:left w:w="15" w:type="dxa"/>
            <w:bottom w:w="15" w:type="dxa"/>
            <w:right w:w="15" w:type="dxa"/>
          </w:tblCellMar>
        </w:tblPrEx>
        <w:trPr>
          <w:trHeight w:val="524" w:hRule="atLeast"/>
        </w:trPr>
        <w:tc>
          <w:tcPr>
            <w:tcW w:w="354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szCs w:val="21"/>
              </w:rPr>
            </w:pPr>
            <w:r>
              <w:rPr>
                <w:rFonts w:hint="eastAsia" w:ascii="宋体" w:hAnsi="宋体" w:cs="宋体"/>
                <w:b/>
                <w:color w:val="000000"/>
                <w:kern w:val="0"/>
                <w:szCs w:val="21"/>
              </w:rPr>
              <w:t>合计</w:t>
            </w:r>
          </w:p>
        </w:tc>
        <w:tc>
          <w:tcPr>
            <w:tcW w:w="1523"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b/>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bottom"/>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30"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r>
        <w:tblPrEx>
          <w:tblCellMar>
            <w:top w:w="15" w:type="dxa"/>
            <w:left w:w="15" w:type="dxa"/>
            <w:bottom w:w="15" w:type="dxa"/>
            <w:right w:w="15" w:type="dxa"/>
          </w:tblCellMar>
        </w:tblPrEx>
        <w:trPr>
          <w:trHeight w:val="524" w:hRule="atLeast"/>
        </w:trPr>
        <w:tc>
          <w:tcPr>
            <w:tcW w:w="1672" w:type="dxa"/>
            <w:tcBorders>
              <w:top w:val="single" w:color="000000" w:sz="4" w:space="0"/>
              <w:left w:val="single" w:color="000000" w:sz="4" w:space="0"/>
              <w:bottom w:val="single" w:color="000000" w:sz="4" w:space="0"/>
              <w:right w:val="single" w:color="000000" w:sz="4" w:space="0"/>
            </w:tcBorders>
            <w:vAlign w:val="center"/>
          </w:tcPr>
          <w:p>
            <w:pPr>
              <w:rPr>
                <w:rFonts w:ascii="宋体" w:hAnsi="宋体" w:cs="宋体"/>
                <w:color w:val="000000"/>
                <w:szCs w:val="21"/>
              </w:rPr>
            </w:pPr>
          </w:p>
        </w:tc>
        <w:tc>
          <w:tcPr>
            <w:tcW w:w="1870"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523"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881" w:type="dxa"/>
            <w:tcBorders>
              <w:top w:val="single" w:color="000000" w:sz="4" w:space="0"/>
              <w:left w:val="single" w:color="000000" w:sz="4" w:space="0"/>
              <w:bottom w:val="single" w:color="000000" w:sz="4" w:space="0"/>
              <w:right w:val="single" w:color="000000" w:sz="4" w:space="0"/>
            </w:tcBorders>
            <w:vAlign w:val="center"/>
          </w:tcPr>
          <w:p>
            <w:pPr>
              <w:jc w:val="right"/>
              <w:rPr>
                <w:rFonts w:ascii="宋体" w:hAnsi="宋体" w:cs="宋体"/>
                <w:color w:val="000000"/>
                <w:szCs w:val="21"/>
              </w:rPr>
            </w:pPr>
          </w:p>
        </w:tc>
        <w:tc>
          <w:tcPr>
            <w:tcW w:w="1927" w:type="dxa"/>
            <w:tcBorders>
              <w:top w:val="single" w:color="000000" w:sz="4" w:space="0"/>
              <w:left w:val="single" w:color="000000" w:sz="4" w:space="0"/>
              <w:bottom w:val="single" w:color="000000" w:sz="4" w:space="0"/>
              <w:right w:val="single" w:color="000000" w:sz="4" w:space="0"/>
            </w:tcBorders>
            <w:vAlign w:val="center"/>
          </w:tcPr>
          <w:p>
            <w:pPr>
              <w:jc w:val="left"/>
              <w:rPr>
                <w:rFonts w:ascii="宋体" w:hAnsi="宋体" w:cs="宋体"/>
                <w:color w:val="000000"/>
                <w:szCs w:val="21"/>
              </w:rPr>
            </w:pPr>
          </w:p>
        </w:tc>
      </w:tr>
    </w:tbl>
    <w:p>
      <w:pPr>
        <w:widowControl/>
        <w:jc w:val="left"/>
        <w:rPr>
          <w:rFonts w:ascii="宋体" w:hAnsi="宋体" w:cs="宋体"/>
          <w:szCs w:val="21"/>
        </w:rPr>
      </w:pPr>
    </w:p>
    <w:p>
      <w:pPr>
        <w:widowControl/>
        <w:jc w:val="left"/>
      </w:pPr>
      <w:r>
        <w:rPr>
          <w:rFonts w:hint="eastAsia" w:ascii="宋体" w:hAnsi="宋体" w:cs="宋体"/>
          <w:szCs w:val="21"/>
        </w:rPr>
        <w:t>注：本表反映部门本年度国有资本经营预算财政拨款支出情况。</w:t>
      </w:r>
      <w:r>
        <w:rPr>
          <w:rFonts w:hint="eastAsia" w:ascii="宋体" w:hAnsi="宋体" w:cs="宋体"/>
          <w:color w:val="000000"/>
          <w:kern w:val="0"/>
          <w:szCs w:val="21"/>
        </w:rPr>
        <w:t>本表金额转换为万元时，因四舍五入可能存在尾差。</w:t>
      </w:r>
    </w:p>
    <w:p>
      <w:pPr>
        <w:rPr>
          <w:rFonts w:ascii="宋体" w:hAnsi="宋体" w:cs="宋体"/>
          <w:szCs w:val="21"/>
        </w:rPr>
      </w:pPr>
    </w:p>
    <w:p>
      <w:pPr>
        <w:spacing w:line="56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第三部分 2020 年部门决算情况说明</w:t>
      </w:r>
    </w:p>
    <w:p>
      <w:pPr>
        <w:widowControl/>
        <w:spacing w:line="560" w:lineRule="exact"/>
        <w:rPr>
          <w:rFonts w:ascii="黑体" w:hAnsi="宋体" w:eastAsia="黑体"/>
          <w:color w:val="000000"/>
          <w:kern w:val="0"/>
          <w:sz w:val="44"/>
          <w:szCs w:val="44"/>
          <w:lang w:bidi="ar"/>
        </w:rPr>
      </w:pP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一、收入支出决算总体情况说明 </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2020年总收入85.85万元，2019年总收入63.35万元，较上年增加22.50万元，增长的主要原因是人员经费加大，财政拨款金额增加。</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 w:eastAsia="仿宋_GB2312"/>
          <w:sz w:val="32"/>
          <w:szCs w:val="32"/>
        </w:rPr>
        <w:t>2020年总支出85.85万元，2019年总支出63.35万元，较上年支出增加22.50万元，支出增长的主要原因是人员经费增加。</w:t>
      </w:r>
    </w:p>
    <w:p>
      <w:pPr>
        <w:widowControl/>
        <w:spacing w:line="560" w:lineRule="exact"/>
        <w:ind w:firstLine="640" w:firstLineChars="200"/>
        <w:jc w:val="left"/>
        <w:rPr>
          <w:rFonts w:ascii="仿宋_GB2312" w:hAnsi="仿宋" w:eastAsia="仿宋_GB2312"/>
          <w:sz w:val="32"/>
          <w:szCs w:val="32"/>
        </w:rPr>
      </w:pPr>
    </w:p>
    <w:p>
      <w:pPr>
        <w:widowControl/>
        <w:ind w:firstLine="420" w:firstLineChars="200"/>
        <w:jc w:val="left"/>
        <w:rPr>
          <w:rFonts w:ascii="仿宋_GB2312" w:hAnsi="仿宋" w:eastAsia="仿宋_GB2312"/>
          <w:sz w:val="32"/>
          <w:szCs w:val="32"/>
        </w:rPr>
      </w:pPr>
      <w:r>
        <w:drawing>
          <wp:inline distT="0" distB="0" distL="0" distR="0">
            <wp:extent cx="4572000" cy="2743200"/>
            <wp:effectExtent l="0" t="0" r="19050" b="19050"/>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二、收入决算情况说明</w:t>
      </w:r>
    </w:p>
    <w:p>
      <w:pPr>
        <w:snapToGrid w:val="0"/>
        <w:spacing w:line="520" w:lineRule="exact"/>
        <w:ind w:firstLine="640" w:firstLineChars="200"/>
        <w:rPr>
          <w:rFonts w:hint="eastAsia" w:ascii="仿宋" w:hAnsi="仿宋" w:eastAsia="仿宋"/>
          <w:sz w:val="32"/>
          <w:szCs w:val="32"/>
        </w:rPr>
      </w:pPr>
      <w:r>
        <w:rPr>
          <w:rFonts w:hint="eastAsia" w:ascii="仿宋" w:hAnsi="仿宋" w:eastAsia="仿宋"/>
          <w:sz w:val="32"/>
          <w:szCs w:val="32"/>
        </w:rPr>
        <w:t>2020年收入合计85.85万，其中：财政拨款收入85.85万元，占总收入100%。</w:t>
      </w:r>
    </w:p>
    <w:p>
      <w:pPr>
        <w:snapToGrid w:val="0"/>
        <w:rPr>
          <w:rFonts w:ascii="仿宋" w:hAnsi="仿宋" w:eastAsia="仿宋"/>
          <w:sz w:val="28"/>
          <w:szCs w:val="28"/>
        </w:rPr>
      </w:pPr>
    </w:p>
    <w:p>
      <w:pPr>
        <w:snapToGrid w:val="0"/>
        <w:ind w:firstLine="420" w:firstLineChars="200"/>
        <w:rPr>
          <w:rFonts w:ascii="仿宋" w:hAnsi="仿宋" w:eastAsia="仿宋"/>
          <w:sz w:val="28"/>
          <w:szCs w:val="28"/>
        </w:rPr>
      </w:pPr>
      <w:r>
        <w:drawing>
          <wp:inline distT="0" distB="0" distL="114300" distR="114300">
            <wp:extent cx="4749800" cy="2790825"/>
            <wp:effectExtent l="4445" t="5080" r="8255" b="44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napToGrid w:val="0"/>
        <w:ind w:firstLine="560" w:firstLineChars="200"/>
        <w:rPr>
          <w:rFonts w:ascii="仿宋" w:hAnsi="仿宋" w:eastAsia="仿宋"/>
          <w:sz w:val="28"/>
          <w:szCs w:val="28"/>
        </w:rPr>
      </w:pPr>
    </w:p>
    <w:p>
      <w:pPr>
        <w:widowControl/>
        <w:spacing w:line="560" w:lineRule="exact"/>
        <w:ind w:firstLine="640" w:firstLineChars="200"/>
        <w:jc w:val="left"/>
        <w:rPr>
          <w:rFonts w:ascii="黑体" w:hAnsi="黑体" w:eastAsia="黑体"/>
        </w:rPr>
      </w:pPr>
      <w:r>
        <w:rPr>
          <w:rFonts w:hint="eastAsia" w:ascii="黑体" w:hAnsi="黑体" w:eastAsia="黑体"/>
          <w:color w:val="000000"/>
          <w:kern w:val="0"/>
          <w:sz w:val="32"/>
          <w:szCs w:val="32"/>
          <w:lang w:bidi="ar"/>
        </w:rPr>
        <w:t xml:space="preserve">三、支出决算情况说明  </w:t>
      </w:r>
    </w:p>
    <w:p>
      <w:pPr>
        <w:widowControl/>
        <w:spacing w:line="560" w:lineRule="exact"/>
        <w:ind w:firstLine="640" w:firstLineChars="200"/>
        <w:jc w:val="left"/>
        <w:rPr>
          <w:rFonts w:hint="eastAsia" w:ascii="仿宋_GB2312" w:hAnsi="宋体" w:eastAsia="仿宋_GB2312" w:cs="仿宋_GB2312"/>
          <w:b/>
          <w:color w:val="000000"/>
          <w:kern w:val="0"/>
          <w:sz w:val="32"/>
          <w:szCs w:val="32"/>
          <w:lang w:bidi="ar"/>
        </w:rPr>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年支出合计</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万元，其中</w:t>
      </w:r>
      <w:r>
        <w:rPr>
          <w:rFonts w:hint="eastAsia" w:ascii="仿宋_GB2312" w:hAnsi="宋体" w:eastAsia="仿宋_GB2312" w:cs="仿宋_GB2312"/>
          <w:color w:val="000000"/>
          <w:kern w:val="0"/>
          <w:sz w:val="32"/>
          <w:szCs w:val="32"/>
          <w:lang w:bidi="ar"/>
        </w:rPr>
        <w:t>：</w:t>
      </w:r>
      <w:r>
        <w:rPr>
          <w:rFonts w:ascii="仿宋_GB2312" w:hAnsi="宋体" w:eastAsia="仿宋_GB2312" w:cs="仿宋_GB2312"/>
          <w:color w:val="000000"/>
          <w:kern w:val="0"/>
          <w:sz w:val="32"/>
          <w:szCs w:val="32"/>
          <w:lang w:bidi="ar"/>
        </w:rPr>
        <w:t>基本支出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，占总支出的100%。</w:t>
      </w:r>
    </w:p>
    <w:p>
      <w:pPr>
        <w:widowControl/>
        <w:ind w:firstLine="643" w:firstLineChars="200"/>
        <w:jc w:val="left"/>
        <w:rPr>
          <w:rFonts w:ascii="仿宋_GB2312" w:hAnsi="宋体" w:eastAsia="仿宋_GB2312" w:cs="仿宋_GB2312"/>
          <w:b/>
          <w:color w:val="000000"/>
          <w:kern w:val="0"/>
          <w:sz w:val="32"/>
          <w:szCs w:val="32"/>
          <w:lang w:bidi="ar"/>
        </w:rPr>
      </w:pPr>
    </w:p>
    <w:p>
      <w:pPr>
        <w:widowControl/>
        <w:ind w:firstLine="420" w:firstLineChars="200"/>
        <w:jc w:val="left"/>
        <w:rPr>
          <w:rFonts w:ascii="仿宋_GB2312" w:hAnsi="宋体" w:eastAsia="仿宋_GB2312" w:cs="仿宋_GB2312"/>
          <w:b/>
          <w:color w:val="000000"/>
          <w:kern w:val="0"/>
          <w:sz w:val="32"/>
          <w:szCs w:val="32"/>
          <w:lang w:bidi="ar"/>
        </w:rPr>
      </w:pPr>
      <w:r>
        <w:drawing>
          <wp:inline distT="0" distB="0" distL="114300" distR="114300">
            <wp:extent cx="4749800" cy="2790825"/>
            <wp:effectExtent l="4445" t="5080" r="8255" b="4445"/>
            <wp:docPr id="6"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widowControl/>
        <w:ind w:firstLine="643" w:firstLineChars="200"/>
        <w:jc w:val="left"/>
        <w:rPr>
          <w:rFonts w:ascii="仿宋_GB2312" w:hAnsi="宋体" w:eastAsia="仿宋_GB2312" w:cs="仿宋_GB2312"/>
          <w:b/>
          <w:color w:val="000000"/>
          <w:kern w:val="0"/>
          <w:sz w:val="32"/>
          <w:szCs w:val="32"/>
          <w:lang w:bidi="ar"/>
        </w:rPr>
      </w:pPr>
    </w:p>
    <w:p>
      <w:pPr>
        <w:widowControl/>
        <w:ind w:firstLine="643" w:firstLineChars="200"/>
        <w:jc w:val="left"/>
        <w:rPr>
          <w:rFonts w:ascii="仿宋_GB2312" w:hAnsi="宋体" w:eastAsia="仿宋_GB2312" w:cs="仿宋_GB2312"/>
          <w:b/>
          <w:color w:val="000000"/>
          <w:kern w:val="0"/>
          <w:sz w:val="32"/>
          <w:szCs w:val="32"/>
          <w:lang w:bidi="ar"/>
        </w:rPr>
      </w:pPr>
    </w:p>
    <w:p>
      <w:pPr>
        <w:widowControl/>
        <w:ind w:firstLine="643" w:firstLineChars="200"/>
        <w:jc w:val="left"/>
        <w:rPr>
          <w:rFonts w:ascii="仿宋_GB2312" w:hAnsi="宋体" w:eastAsia="仿宋_GB2312" w:cs="仿宋_GB2312"/>
          <w:b/>
          <w:color w:val="000000"/>
          <w:kern w:val="0"/>
          <w:sz w:val="32"/>
          <w:szCs w:val="32"/>
          <w:lang w:bidi="ar"/>
        </w:rPr>
      </w:pP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四、财政拨款收入支出决算总体情况说明  </w:t>
      </w:r>
    </w:p>
    <w:p>
      <w:pPr>
        <w:widowControl/>
        <w:spacing w:line="560" w:lineRule="exact"/>
        <w:ind w:firstLine="640" w:firstLineChars="200"/>
        <w:jc w:val="left"/>
        <w:rPr>
          <w:rFonts w:ascii="仿宋_GB2312" w:hAnsi="仿宋" w:eastAsia="仿宋_GB2312"/>
          <w:sz w:val="32"/>
          <w:szCs w:val="32"/>
        </w:rPr>
      </w:pPr>
      <w:r>
        <w:rPr>
          <w:rFonts w:hint="eastAsia" w:ascii="仿宋_GB2312" w:hAnsi="仿宋_GB2312" w:eastAsia="仿宋_GB2312" w:cs="仿宋_GB2312"/>
          <w:color w:val="auto"/>
          <w:sz w:val="32"/>
          <w:lang w:val="en-US" w:eastAsia="zh-CN"/>
        </w:rPr>
        <w:t>2020年度财政拨款收入85.85万元。与2019年度相比，收入增加22.50万元，增加35.52%，</w:t>
      </w:r>
      <w:r>
        <w:rPr>
          <w:rFonts w:hint="eastAsia" w:ascii="仿宋_GB2312" w:hAnsi="仿宋" w:eastAsia="仿宋_GB2312"/>
          <w:sz w:val="32"/>
          <w:szCs w:val="32"/>
        </w:rPr>
        <w:t>主要原因是财政下拨数增加。</w:t>
      </w:r>
    </w:p>
    <w:p>
      <w:pPr>
        <w:widowControl/>
        <w:spacing w:line="560" w:lineRule="exact"/>
        <w:ind w:firstLine="640" w:firstLineChars="200"/>
        <w:jc w:val="left"/>
        <w:rPr>
          <w:rFonts w:hint="eastAsia" w:ascii="仿宋_GB2312" w:hAnsi="仿宋" w:eastAsia="仿宋_GB2312"/>
          <w:sz w:val="32"/>
          <w:szCs w:val="32"/>
        </w:rPr>
      </w:pPr>
      <w:r>
        <w:rPr>
          <w:rFonts w:hint="eastAsia" w:ascii="仿宋_GB2312" w:hAnsi="仿宋" w:eastAsia="仿宋_GB2312"/>
          <w:sz w:val="32"/>
          <w:szCs w:val="32"/>
        </w:rPr>
        <w:t>2020年</w:t>
      </w:r>
      <w:r>
        <w:rPr>
          <w:rFonts w:hint="eastAsia" w:ascii="仿宋_GB2312" w:hAnsi="仿宋" w:eastAsia="仿宋_GB2312"/>
          <w:sz w:val="32"/>
          <w:szCs w:val="32"/>
          <w:lang w:val="en-US" w:eastAsia="zh-CN"/>
        </w:rPr>
        <w:t>度</w:t>
      </w:r>
      <w:r>
        <w:rPr>
          <w:rFonts w:ascii="仿宋_GB2312" w:hAnsi="宋体" w:eastAsia="仿宋_GB2312" w:cs="仿宋_GB2312"/>
          <w:color w:val="000000"/>
          <w:kern w:val="0"/>
          <w:sz w:val="32"/>
          <w:szCs w:val="32"/>
          <w:lang w:bidi="ar"/>
        </w:rPr>
        <w:t>财政拨款</w:t>
      </w:r>
      <w:r>
        <w:rPr>
          <w:rFonts w:hint="eastAsia" w:ascii="仿宋_GB2312" w:hAnsi="仿宋" w:eastAsia="仿宋_GB2312"/>
          <w:sz w:val="32"/>
          <w:szCs w:val="32"/>
        </w:rPr>
        <w:t>支出</w:t>
      </w:r>
      <w:r>
        <w:rPr>
          <w:rFonts w:hint="eastAsia" w:ascii="仿宋_GB2312" w:hAnsi="仿宋" w:eastAsia="仿宋_GB2312"/>
          <w:sz w:val="32"/>
          <w:szCs w:val="32"/>
          <w:lang w:val="en-US" w:eastAsia="zh-CN"/>
        </w:rPr>
        <w:t>85.85万元。</w:t>
      </w:r>
      <w:r>
        <w:rPr>
          <w:rFonts w:hint="eastAsia" w:ascii="仿宋_GB2312" w:hAnsi="仿宋_GB2312" w:eastAsia="仿宋_GB2312" w:cs="仿宋_GB2312"/>
          <w:color w:val="auto"/>
          <w:sz w:val="32"/>
          <w:lang w:val="en-US" w:eastAsia="zh-CN"/>
        </w:rPr>
        <w:t>与2019年度相比，支出增加22.50万元，增加35.52%，主</w:t>
      </w:r>
      <w:r>
        <w:rPr>
          <w:rFonts w:hint="eastAsia" w:ascii="仿宋_GB2312" w:hAnsi="仿宋" w:eastAsia="仿宋_GB2312"/>
          <w:sz w:val="32"/>
          <w:szCs w:val="32"/>
        </w:rPr>
        <w:t>要原因是人员经费增加。</w:t>
      </w:r>
    </w:p>
    <w:p>
      <w:pPr>
        <w:widowControl/>
        <w:ind w:firstLine="420" w:firstLineChars="200"/>
        <w:jc w:val="left"/>
        <w:rPr>
          <w:rFonts w:ascii="仿宋_GB2312" w:hAnsi="仿宋" w:eastAsia="仿宋_GB2312"/>
          <w:sz w:val="32"/>
          <w:szCs w:val="32"/>
        </w:rPr>
      </w:pPr>
      <w:r>
        <w:drawing>
          <wp:inline distT="0" distB="0" distL="0" distR="0">
            <wp:extent cx="4572000" cy="2743200"/>
            <wp:effectExtent l="0" t="0" r="19050" b="19050"/>
            <wp:docPr id="25" name="图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五、一般公共预算财政拨款支出决算情况说明</w:t>
      </w:r>
    </w:p>
    <w:p>
      <w:pPr>
        <w:widowControl/>
        <w:spacing w:line="560" w:lineRule="exact"/>
        <w:ind w:firstLine="643" w:firstLineChars="200"/>
        <w:jc w:val="left"/>
        <w:rPr>
          <w:rFonts w:ascii="楷体_GB2312" w:hAnsi="宋体" w:eastAsia="楷体_GB2312" w:cs="楷体_GB2312"/>
          <w:b/>
          <w:color w:val="000000"/>
          <w:kern w:val="0"/>
          <w:sz w:val="32"/>
          <w:szCs w:val="32"/>
          <w:lang w:bidi="ar"/>
        </w:rPr>
      </w:pPr>
      <w:r>
        <w:rPr>
          <w:rFonts w:ascii="楷体_GB2312" w:hAnsi="宋体" w:eastAsia="楷体_GB2312" w:cs="楷体_GB2312"/>
          <w:b/>
          <w:color w:val="000000"/>
          <w:kern w:val="0"/>
          <w:sz w:val="32"/>
          <w:szCs w:val="32"/>
          <w:lang w:bidi="ar"/>
        </w:rPr>
        <w:t>（一）财政拨款支出决算总体情况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p>
    <w:p>
      <w:pPr>
        <w:widowControl/>
        <w:spacing w:line="560" w:lineRule="exact"/>
        <w:ind w:firstLine="640" w:firstLineChars="200"/>
        <w:jc w:val="left"/>
        <w:rPr>
          <w:rFonts w:hint="eastAsia" w:ascii="仿宋_GB2312" w:hAnsi="宋体" w:eastAsia="仿宋_GB2312" w:cs="仿宋_GB2312"/>
          <w:color w:val="000000"/>
          <w:kern w:val="0"/>
          <w:sz w:val="32"/>
          <w:szCs w:val="32"/>
          <w:lang w:bidi="ar"/>
        </w:rPr>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 xml:space="preserve"> 年财政拨款支出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万元，占本年支出合计</w:t>
      </w:r>
      <w:r>
        <w:rPr>
          <w:rFonts w:hint="eastAsia" w:ascii="仿宋_GB2312" w:hAnsi="宋体" w:eastAsia="仿宋_GB2312" w:cs="仿宋_GB2312"/>
          <w:color w:val="000000"/>
          <w:kern w:val="0"/>
          <w:sz w:val="32"/>
          <w:szCs w:val="32"/>
          <w:lang w:bidi="ar"/>
        </w:rPr>
        <w:t>100</w:t>
      </w:r>
      <w:r>
        <w:rPr>
          <w:rFonts w:ascii="仿宋_GB2312" w:hAnsi="宋体" w:eastAsia="仿宋_GB2312" w:cs="仿宋_GB2312"/>
          <w:color w:val="000000"/>
          <w:kern w:val="0"/>
          <w:sz w:val="32"/>
          <w:szCs w:val="32"/>
          <w:lang w:bidi="ar"/>
        </w:rPr>
        <w:t>%。与</w:t>
      </w:r>
      <w:r>
        <w:rPr>
          <w:rFonts w:hint="eastAsia" w:ascii="仿宋_GB2312" w:hAnsi="宋体" w:eastAsia="仿宋_GB2312" w:cs="仿宋_GB2312"/>
          <w:color w:val="000000"/>
          <w:kern w:val="0"/>
          <w:sz w:val="32"/>
          <w:szCs w:val="32"/>
          <w:lang w:bidi="ar"/>
        </w:rPr>
        <w:t>上年</w:t>
      </w:r>
      <w:r>
        <w:rPr>
          <w:rFonts w:ascii="仿宋_GB2312" w:hAnsi="宋体" w:eastAsia="仿宋_GB2312" w:cs="仿宋_GB2312"/>
          <w:color w:val="000000"/>
          <w:kern w:val="0"/>
          <w:sz w:val="32"/>
          <w:szCs w:val="32"/>
          <w:lang w:bidi="ar"/>
        </w:rPr>
        <w:t>相比，财政拨款支出增加</w:t>
      </w:r>
      <w:r>
        <w:rPr>
          <w:rFonts w:hint="eastAsia" w:ascii="仿宋_GB2312" w:hAnsi="宋体" w:eastAsia="仿宋_GB2312" w:cs="仿宋_GB2312"/>
          <w:color w:val="000000"/>
          <w:kern w:val="0"/>
          <w:sz w:val="32"/>
          <w:szCs w:val="32"/>
          <w:lang w:bidi="ar"/>
        </w:rPr>
        <w:t>22.50</w:t>
      </w:r>
      <w:r>
        <w:rPr>
          <w:rFonts w:ascii="仿宋_GB2312" w:hAnsi="宋体" w:eastAsia="仿宋_GB2312" w:cs="仿宋_GB2312"/>
          <w:color w:val="000000"/>
          <w:kern w:val="0"/>
          <w:sz w:val="32"/>
          <w:szCs w:val="32"/>
          <w:lang w:bidi="ar"/>
        </w:rPr>
        <w:t>万元，增长</w:t>
      </w:r>
      <w:r>
        <w:rPr>
          <w:rFonts w:hint="eastAsia" w:ascii="仿宋_GB2312" w:hAnsi="宋体" w:eastAsia="仿宋_GB2312" w:cs="仿宋_GB2312"/>
          <w:color w:val="000000"/>
          <w:kern w:val="0"/>
          <w:sz w:val="32"/>
          <w:szCs w:val="32"/>
          <w:lang w:bidi="ar"/>
        </w:rPr>
        <w:t>35.52</w:t>
      </w:r>
      <w:r>
        <w:rPr>
          <w:rFonts w:ascii="仿宋_GB2312" w:hAnsi="宋体" w:eastAsia="仿宋_GB2312" w:cs="仿宋_GB2312"/>
          <w:color w:val="000000"/>
          <w:kern w:val="0"/>
          <w:sz w:val="32"/>
          <w:szCs w:val="32"/>
          <w:lang w:bidi="ar"/>
        </w:rPr>
        <w:t>%，主要</w:t>
      </w:r>
      <w:r>
        <w:rPr>
          <w:rFonts w:hint="eastAsia" w:ascii="仿宋_GB2312" w:hAnsi="宋体" w:eastAsia="仿宋_GB2312" w:cs="仿宋_GB2312"/>
          <w:color w:val="000000"/>
          <w:kern w:val="0"/>
          <w:sz w:val="32"/>
          <w:szCs w:val="32"/>
          <w:lang w:bidi="ar"/>
        </w:rPr>
        <w:t>原因是人员经费加大。</w:t>
      </w:r>
    </w:p>
    <w:p>
      <w:pPr>
        <w:widowControl/>
        <w:ind w:firstLine="420" w:firstLineChars="200"/>
        <w:jc w:val="left"/>
      </w:pPr>
      <w:r>
        <w:drawing>
          <wp:inline distT="0" distB="0" distL="0" distR="0">
            <wp:extent cx="4572000" cy="2743200"/>
            <wp:effectExtent l="0" t="0" r="19050" b="19050"/>
            <wp:docPr id="28" name="图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560" w:lineRule="exact"/>
        <w:ind w:firstLine="643" w:firstLineChars="200"/>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财政拨款支出决算具体情况</w:t>
      </w:r>
      <w:r>
        <w:rPr>
          <w:rFonts w:hint="eastAsia" w:ascii="楷体_GB2312" w:hAnsi="宋体" w:eastAsia="楷体_GB2312" w:cs="楷体_GB2312"/>
          <w:b/>
          <w:color w:val="000000"/>
          <w:kern w:val="0"/>
          <w:sz w:val="32"/>
          <w:szCs w:val="32"/>
          <w:lang w:bidi="ar"/>
        </w:rPr>
        <w:t>说明</w:t>
      </w:r>
      <w:r>
        <w:rPr>
          <w:rFonts w:ascii="楷体_GB2312" w:hAnsi="宋体" w:eastAsia="楷体_GB2312" w:cs="楷体_GB2312"/>
          <w:b/>
          <w:color w:val="000000"/>
          <w:kern w:val="0"/>
          <w:sz w:val="32"/>
          <w:szCs w:val="32"/>
          <w:lang w:bidi="ar"/>
        </w:rPr>
        <w:t>。</w:t>
      </w:r>
    </w:p>
    <w:p>
      <w:pPr>
        <w:widowControl/>
        <w:spacing w:line="560" w:lineRule="exact"/>
        <w:ind w:firstLine="640" w:firstLineChars="200"/>
        <w:jc w:val="left"/>
      </w:pPr>
      <w:r>
        <w:rPr>
          <w:rFonts w:hint="eastAsia" w:ascii="仿宋_GB2312" w:hAnsi="宋体" w:eastAsia="仿宋_GB2312" w:cs="仿宋_GB2312"/>
          <w:color w:val="000000"/>
          <w:kern w:val="0"/>
          <w:sz w:val="32"/>
          <w:szCs w:val="32"/>
          <w:lang w:bidi="ar"/>
        </w:rPr>
        <w:t>2020</w:t>
      </w:r>
      <w:r>
        <w:rPr>
          <w:rFonts w:ascii="仿宋_GB2312" w:hAnsi="宋体" w:eastAsia="仿宋_GB2312" w:cs="仿宋_GB2312"/>
          <w:color w:val="000000"/>
          <w:kern w:val="0"/>
          <w:sz w:val="32"/>
          <w:szCs w:val="32"/>
          <w:lang w:bidi="ar"/>
        </w:rPr>
        <w:t xml:space="preserve"> 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财政拨款支出预算为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bidi="ar"/>
        </w:rPr>
        <w:t>100</w:t>
      </w:r>
      <w:r>
        <w:rPr>
          <w:rFonts w:ascii="仿宋_GB2312" w:hAnsi="宋体" w:eastAsia="仿宋_GB2312" w:cs="仿宋_GB2312"/>
          <w:color w:val="000000"/>
          <w:kern w:val="0"/>
          <w:sz w:val="32"/>
          <w:szCs w:val="32"/>
          <w:lang w:bidi="ar"/>
        </w:rPr>
        <w:t>%。</w:t>
      </w:r>
      <w:r>
        <w:rPr>
          <w:rFonts w:hint="eastAsia" w:ascii="仿宋_GB2312" w:hAnsi="宋体" w:eastAsia="仿宋_GB2312" w:cs="仿宋_GB2312"/>
          <w:color w:val="000000"/>
          <w:kern w:val="0"/>
          <w:sz w:val="32"/>
          <w:szCs w:val="32"/>
          <w:lang w:bidi="ar"/>
        </w:rPr>
        <w:t>按照政府功能分类科目，</w:t>
      </w:r>
      <w:r>
        <w:rPr>
          <w:rFonts w:ascii="仿宋_GB2312" w:hAnsi="宋体" w:eastAsia="仿宋_GB2312" w:cs="仿宋_GB2312"/>
          <w:color w:val="000000"/>
          <w:kern w:val="0"/>
          <w:sz w:val="32"/>
          <w:szCs w:val="32"/>
          <w:lang w:bidi="ar"/>
        </w:rPr>
        <w:t xml:space="preserve">其中： </w:t>
      </w:r>
    </w:p>
    <w:p>
      <w:pPr>
        <w:widowControl/>
        <w:spacing w:line="560" w:lineRule="exact"/>
        <w:ind w:firstLine="643" w:firstLineChars="200"/>
        <w:jc w:val="left"/>
      </w:pPr>
      <w:r>
        <w:rPr>
          <w:rFonts w:ascii="仿宋_GB2312" w:hAnsi="宋体" w:eastAsia="仿宋_GB2312" w:cs="仿宋_GB2312"/>
          <w:b/>
          <w:color w:val="000000"/>
          <w:kern w:val="0"/>
          <w:sz w:val="32"/>
          <w:szCs w:val="32"/>
          <w:lang w:bidi="ar"/>
        </w:rPr>
        <w:t>一般公共服务支出（类）</w:t>
      </w:r>
      <w:r>
        <w:rPr>
          <w:rFonts w:hint="eastAsia" w:ascii="仿宋_GB2312" w:hAnsi="宋体" w:eastAsia="仿宋_GB2312" w:cs="仿宋_GB2312"/>
          <w:b/>
          <w:color w:val="000000"/>
          <w:kern w:val="0"/>
          <w:sz w:val="32"/>
          <w:szCs w:val="32"/>
          <w:lang w:bidi="ar"/>
        </w:rPr>
        <w:t>群众团体</w:t>
      </w:r>
      <w:r>
        <w:rPr>
          <w:rFonts w:ascii="仿宋_GB2312" w:hAnsi="宋体" w:eastAsia="仿宋_GB2312" w:cs="仿宋_GB2312"/>
          <w:b/>
          <w:color w:val="000000"/>
          <w:kern w:val="0"/>
          <w:sz w:val="32"/>
          <w:szCs w:val="32"/>
          <w:lang w:bidi="ar"/>
        </w:rPr>
        <w:t xml:space="preserve">事务（款）行政运行（项）。 </w:t>
      </w:r>
    </w:p>
    <w:p>
      <w:pPr>
        <w:widowControl/>
        <w:spacing w:line="560" w:lineRule="exact"/>
        <w:jc w:val="left"/>
        <w:rPr>
          <w:rFonts w:ascii="仿宋_GB2312" w:hAnsi="宋体" w:eastAsia="仿宋_GB2312" w:cs="仿宋_GB2312"/>
          <w:color w:val="000000"/>
          <w:kern w:val="0"/>
          <w:sz w:val="32"/>
          <w:szCs w:val="32"/>
          <w:lang w:bidi="ar"/>
        </w:rPr>
      </w:pP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bidi="ar"/>
        </w:rPr>
        <w:t>85.85</w:t>
      </w:r>
      <w:r>
        <w:rPr>
          <w:rFonts w:ascii="仿宋_GB2312" w:hAnsi="宋体" w:eastAsia="仿宋_GB2312" w:cs="仿宋_GB2312"/>
          <w:color w:val="000000"/>
          <w:kern w:val="0"/>
          <w:sz w:val="32"/>
          <w:szCs w:val="32"/>
          <w:lang w:bidi="ar"/>
        </w:rPr>
        <w:t>万元，完成预算的</w:t>
      </w:r>
      <w:r>
        <w:rPr>
          <w:rFonts w:hint="eastAsia" w:ascii="仿宋_GB2312" w:hAnsi="宋体" w:eastAsia="仿宋_GB2312" w:cs="仿宋_GB2312"/>
          <w:color w:val="000000"/>
          <w:kern w:val="0"/>
          <w:sz w:val="32"/>
          <w:szCs w:val="32"/>
          <w:lang w:bidi="ar"/>
        </w:rPr>
        <w:t>100</w:t>
      </w:r>
      <w:r>
        <w:rPr>
          <w:rFonts w:ascii="仿宋_GB2312" w:hAnsi="宋体" w:eastAsia="仿宋_GB2312" w:cs="仿宋_GB2312"/>
          <w:color w:val="000000"/>
          <w:kern w:val="0"/>
          <w:sz w:val="32"/>
          <w:szCs w:val="32"/>
          <w:lang w:bidi="ar"/>
        </w:rPr>
        <w:t>%。决算数</w:t>
      </w:r>
      <w:r>
        <w:rPr>
          <w:rFonts w:hint="eastAsia" w:ascii="仿宋_GB2312" w:hAnsi="宋体" w:eastAsia="仿宋_GB2312" w:cs="仿宋_GB2312"/>
          <w:color w:val="000000"/>
          <w:kern w:val="0"/>
          <w:sz w:val="32"/>
          <w:szCs w:val="32"/>
          <w:lang w:bidi="ar"/>
        </w:rPr>
        <w:t>与</w:t>
      </w:r>
      <w:r>
        <w:rPr>
          <w:rFonts w:ascii="仿宋_GB2312" w:hAnsi="宋体" w:eastAsia="仿宋_GB2312" w:cs="仿宋_GB2312"/>
          <w:color w:val="000000"/>
          <w:kern w:val="0"/>
          <w:sz w:val="32"/>
          <w:szCs w:val="32"/>
          <w:lang w:bidi="ar"/>
        </w:rPr>
        <w:t>预算数</w:t>
      </w:r>
      <w:r>
        <w:rPr>
          <w:rFonts w:hint="eastAsia" w:ascii="仿宋_GB2312" w:hAnsi="宋体" w:eastAsia="仿宋_GB2312" w:cs="仿宋_GB2312"/>
          <w:color w:val="000000"/>
          <w:kern w:val="0"/>
          <w:sz w:val="32"/>
          <w:szCs w:val="32"/>
          <w:lang w:bidi="ar"/>
        </w:rPr>
        <w:t>持平。</w:t>
      </w:r>
    </w:p>
    <w:p>
      <w:pPr>
        <w:spacing w:line="560" w:lineRule="exact"/>
        <w:ind w:firstLine="640" w:firstLineChars="200"/>
        <w:rPr>
          <w:rFonts w:ascii="仿宋_GB2312" w:hAnsi="仿宋" w:eastAsia="仿宋_GB2312"/>
          <w:sz w:val="32"/>
          <w:szCs w:val="32"/>
        </w:rPr>
      </w:pPr>
      <w:r>
        <w:rPr>
          <w:rFonts w:hint="eastAsia" w:ascii="黑体" w:hAnsi="黑体" w:eastAsia="黑体"/>
          <w:color w:val="000000"/>
          <w:kern w:val="0"/>
          <w:sz w:val="32"/>
          <w:szCs w:val="32"/>
          <w:lang w:bidi="ar"/>
        </w:rPr>
        <w:t xml:space="preserve">六、一般公共预算财政拨款基本支出决算情况说明 </w:t>
      </w:r>
    </w:p>
    <w:p>
      <w:pPr>
        <w:widowControl/>
        <w:spacing w:line="560" w:lineRule="exact"/>
        <w:ind w:firstLine="620" w:firstLineChars="200"/>
        <w:jc w:val="left"/>
        <w:rPr>
          <w:rFonts w:ascii="仿宋_GB2312" w:hAnsi="仿宋_GB2312" w:eastAsia="仿宋_GB2312" w:cs="仿宋_GB2312"/>
          <w:color w:val="000000"/>
          <w:kern w:val="0"/>
          <w:sz w:val="31"/>
          <w:szCs w:val="31"/>
          <w:lang w:bidi="ar"/>
        </w:rPr>
      </w:pPr>
      <w:r>
        <w:rPr>
          <w:rFonts w:hint="eastAsia" w:ascii="仿宋_GB2312" w:hAnsi="仿宋_GB2312" w:eastAsia="仿宋_GB2312" w:cs="仿宋_GB2312"/>
          <w:color w:val="000000"/>
          <w:kern w:val="0"/>
          <w:sz w:val="31"/>
          <w:szCs w:val="31"/>
          <w:lang w:bidi="ar"/>
        </w:rPr>
        <w:t>2020</w:t>
      </w:r>
      <w:r>
        <w:rPr>
          <w:rFonts w:ascii="仿宋_GB2312" w:hAnsi="仿宋_GB2312" w:eastAsia="仿宋_GB2312" w:cs="仿宋_GB2312"/>
          <w:color w:val="000000"/>
          <w:kern w:val="0"/>
          <w:sz w:val="31"/>
          <w:szCs w:val="31"/>
          <w:lang w:bidi="ar"/>
        </w:rPr>
        <w:t>年</w:t>
      </w:r>
      <w:r>
        <w:rPr>
          <w:rFonts w:hint="eastAsia" w:ascii="仿宋_GB2312" w:hAnsi="仿宋_GB2312" w:eastAsia="仿宋_GB2312" w:cs="仿宋_GB2312"/>
          <w:color w:val="000000"/>
          <w:kern w:val="0"/>
          <w:sz w:val="31"/>
          <w:szCs w:val="31"/>
          <w:lang w:val="en-US" w:eastAsia="zh-CN" w:bidi="ar"/>
        </w:rPr>
        <w:t>度</w:t>
      </w:r>
      <w:r>
        <w:rPr>
          <w:rFonts w:ascii="仿宋_GB2312" w:hAnsi="仿宋_GB2312" w:eastAsia="仿宋_GB2312" w:cs="仿宋_GB2312"/>
          <w:color w:val="000000"/>
          <w:kern w:val="0"/>
          <w:sz w:val="31"/>
          <w:szCs w:val="31"/>
          <w:lang w:bidi="ar"/>
        </w:rPr>
        <w:t>一般公共预算财政拨款基本支出</w:t>
      </w:r>
      <w:r>
        <w:rPr>
          <w:rFonts w:hint="eastAsia" w:ascii="仿宋_GB2312" w:hAnsi="仿宋_GB2312" w:eastAsia="仿宋_GB2312" w:cs="仿宋_GB2312"/>
          <w:color w:val="000000"/>
          <w:kern w:val="0"/>
          <w:sz w:val="31"/>
          <w:szCs w:val="31"/>
          <w:lang w:bidi="ar"/>
        </w:rPr>
        <w:t>85.85</w:t>
      </w:r>
      <w:r>
        <w:rPr>
          <w:rFonts w:ascii="仿宋_GB2312" w:hAnsi="仿宋_GB2312" w:eastAsia="仿宋_GB2312" w:cs="仿宋_GB2312"/>
          <w:color w:val="000000"/>
          <w:kern w:val="0"/>
          <w:sz w:val="31"/>
          <w:szCs w:val="31"/>
          <w:lang w:bidi="ar"/>
        </w:rPr>
        <w:t>万元，包括：人员经费支出</w:t>
      </w:r>
      <w:r>
        <w:rPr>
          <w:rFonts w:hint="eastAsia" w:ascii="仿宋_GB2312" w:hAnsi="仿宋_GB2312" w:eastAsia="仿宋_GB2312" w:cs="仿宋_GB2312"/>
          <w:color w:val="000000"/>
          <w:kern w:val="0"/>
          <w:sz w:val="31"/>
          <w:szCs w:val="31"/>
          <w:lang w:bidi="ar"/>
        </w:rPr>
        <w:t>85.81</w:t>
      </w:r>
      <w:r>
        <w:rPr>
          <w:rFonts w:ascii="仿宋_GB2312" w:hAnsi="仿宋_GB2312" w:eastAsia="仿宋_GB2312" w:cs="仿宋_GB2312"/>
          <w:color w:val="000000"/>
          <w:kern w:val="0"/>
          <w:sz w:val="31"/>
          <w:szCs w:val="31"/>
          <w:lang w:bidi="ar"/>
        </w:rPr>
        <w:t>万元和公用经费支出</w:t>
      </w:r>
      <w:r>
        <w:rPr>
          <w:rFonts w:hint="eastAsia" w:ascii="仿宋_GB2312" w:hAnsi="仿宋_GB2312" w:eastAsia="仿宋_GB2312" w:cs="仿宋_GB2312"/>
          <w:color w:val="000000"/>
          <w:kern w:val="0"/>
          <w:sz w:val="31"/>
          <w:szCs w:val="31"/>
          <w:lang w:bidi="ar"/>
        </w:rPr>
        <w:t>0.04</w:t>
      </w:r>
      <w:r>
        <w:rPr>
          <w:rFonts w:ascii="仿宋_GB2312" w:hAnsi="仿宋_GB2312" w:eastAsia="仿宋_GB2312" w:cs="仿宋_GB2312"/>
          <w:color w:val="000000"/>
          <w:kern w:val="0"/>
          <w:sz w:val="31"/>
          <w:szCs w:val="31"/>
          <w:lang w:bidi="ar"/>
        </w:rPr>
        <w:t>万元。</w:t>
      </w:r>
    </w:p>
    <w:p>
      <w:pPr>
        <w:widowControl/>
        <w:spacing w:line="560" w:lineRule="exact"/>
        <w:ind w:firstLine="643" w:firstLineChars="200"/>
        <w:jc w:val="left"/>
        <w:rPr>
          <w:rFonts w:ascii="仿宋_GB2312" w:hAnsi="宋体" w:eastAsia="仿宋_GB2312" w:cs="仿宋_GB2312"/>
          <w:color w:val="000000"/>
          <w:kern w:val="0"/>
          <w:sz w:val="32"/>
          <w:szCs w:val="32"/>
          <w:lang w:bidi="ar"/>
        </w:rPr>
      </w:pPr>
      <w:r>
        <w:rPr>
          <w:rFonts w:ascii="仿宋_GB2312" w:hAnsi="宋体" w:eastAsia="仿宋_GB2312" w:cs="仿宋_GB2312"/>
          <w:b/>
          <w:bCs/>
          <w:color w:val="000000"/>
          <w:kern w:val="0"/>
          <w:sz w:val="32"/>
          <w:szCs w:val="32"/>
          <w:lang w:bidi="ar"/>
        </w:rPr>
        <w:t>人员经费</w:t>
      </w:r>
      <w:r>
        <w:rPr>
          <w:rFonts w:hint="eastAsia" w:ascii="仿宋_GB2312" w:hAnsi="宋体" w:eastAsia="仿宋_GB2312" w:cs="仿宋_GB2312"/>
          <w:color w:val="000000"/>
          <w:kern w:val="0"/>
          <w:sz w:val="32"/>
          <w:szCs w:val="32"/>
          <w:lang w:bidi="ar"/>
        </w:rPr>
        <w:t>85.81</w:t>
      </w:r>
      <w:r>
        <w:rPr>
          <w:rFonts w:ascii="仿宋_GB2312" w:hAnsi="宋体" w:eastAsia="仿宋_GB2312" w:cs="仿宋_GB2312"/>
          <w:color w:val="000000"/>
          <w:kern w:val="0"/>
          <w:sz w:val="32"/>
          <w:szCs w:val="32"/>
          <w:lang w:bidi="ar"/>
        </w:rPr>
        <w:t>万元，主要包括基本工资</w:t>
      </w:r>
      <w:r>
        <w:rPr>
          <w:rFonts w:hint="eastAsia" w:ascii="仿宋_GB2312" w:hAnsi="宋体" w:eastAsia="仿宋_GB2312" w:cs="仿宋_GB2312"/>
          <w:color w:val="000000"/>
          <w:kern w:val="0"/>
          <w:sz w:val="32"/>
          <w:szCs w:val="32"/>
          <w:lang w:bidi="ar"/>
        </w:rPr>
        <w:t>40.08万元、津贴补贴21.42万元、奖金8.40万元、机关事业单位基本养老保险缴费3.57万元、职工基本医疗保险缴费4.01万元、住房公积金7.36万元、其他工资福利支出0.96万元。</w:t>
      </w:r>
    </w:p>
    <w:p>
      <w:pPr>
        <w:widowControl/>
        <w:spacing w:line="560" w:lineRule="exact"/>
        <w:ind w:firstLine="643" w:firstLineChars="200"/>
        <w:jc w:val="left"/>
      </w:pPr>
      <w:r>
        <w:rPr>
          <w:rFonts w:ascii="仿宋_GB2312" w:hAnsi="宋体" w:eastAsia="仿宋_GB2312" w:cs="仿宋_GB2312"/>
          <w:b/>
          <w:bCs/>
          <w:color w:val="000000"/>
          <w:kern w:val="0"/>
          <w:sz w:val="32"/>
          <w:szCs w:val="32"/>
          <w:lang w:bidi="ar"/>
        </w:rPr>
        <w:t>公用经费</w:t>
      </w:r>
      <w:r>
        <w:rPr>
          <w:rFonts w:hint="eastAsia" w:ascii="仿宋_GB2312" w:hAnsi="宋体" w:eastAsia="仿宋_GB2312" w:cs="仿宋_GB2312"/>
          <w:color w:val="000000"/>
          <w:kern w:val="0"/>
          <w:sz w:val="32"/>
          <w:szCs w:val="32"/>
          <w:lang w:bidi="ar"/>
        </w:rPr>
        <w:t>0.04</w:t>
      </w:r>
      <w:r>
        <w:rPr>
          <w:rFonts w:ascii="仿宋_GB2312" w:hAnsi="宋体" w:eastAsia="仿宋_GB2312" w:cs="仿宋_GB2312"/>
          <w:color w:val="000000"/>
          <w:kern w:val="0"/>
          <w:sz w:val="32"/>
          <w:szCs w:val="32"/>
          <w:lang w:bidi="ar"/>
        </w:rPr>
        <w:t>万元，主要</w:t>
      </w:r>
      <w:r>
        <w:rPr>
          <w:rFonts w:hint="eastAsia" w:ascii="仿宋_GB2312" w:hAnsi="宋体" w:eastAsia="仿宋_GB2312" w:cs="仿宋_GB2312"/>
          <w:color w:val="000000"/>
          <w:kern w:val="0"/>
          <w:sz w:val="32"/>
          <w:szCs w:val="32"/>
          <w:lang w:bidi="ar"/>
        </w:rPr>
        <w:t>是差旅费0.04万元。</w:t>
      </w:r>
    </w:p>
    <w:p>
      <w:pPr>
        <w:numPr>
          <w:ilvl w:val="0"/>
          <w:numId w:val="1"/>
        </w:numPr>
        <w:spacing w:line="560" w:lineRule="exact"/>
        <w:ind w:firstLine="640" w:firstLineChars="200"/>
        <w:rPr>
          <w:rFonts w:hint="eastAsia" w:ascii="黑体" w:hAnsi="黑体" w:eastAsia="黑体"/>
          <w:color w:val="000000"/>
          <w:kern w:val="0"/>
          <w:sz w:val="32"/>
          <w:szCs w:val="32"/>
          <w:lang w:bidi="ar"/>
        </w:rPr>
      </w:pPr>
      <w:r>
        <w:rPr>
          <w:rFonts w:hint="eastAsia" w:ascii="黑体" w:hAnsi="黑体" w:eastAsia="黑体"/>
          <w:color w:val="000000"/>
          <w:kern w:val="0"/>
          <w:sz w:val="32"/>
          <w:szCs w:val="32"/>
          <w:lang w:bidi="ar"/>
        </w:rPr>
        <w:t xml:space="preserve">一般公共预算财政拨款“三公”经费及会议费、培训费支出决算情况说明 </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pPr>
      <w:r>
        <w:rPr>
          <w:rFonts w:ascii="楷体_GB2312" w:hAnsi="宋体" w:eastAsia="楷体_GB2312" w:cs="楷体_GB2312"/>
          <w:b/>
          <w:color w:val="000000"/>
          <w:kern w:val="0"/>
          <w:sz w:val="32"/>
          <w:szCs w:val="32"/>
          <w:lang w:bidi="ar"/>
        </w:rPr>
        <w:t>（一）“三公”经费财政拨款支出决算总体情况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pPr>
      <w:r>
        <w:rPr>
          <w:rFonts w:hint="eastAsia" w:ascii="仿宋_GB2312" w:hAnsi="宋体" w:eastAsia="仿宋_GB2312" w:cs="仿宋_GB2312"/>
          <w:color w:val="000000"/>
          <w:kern w:val="0"/>
          <w:sz w:val="32"/>
          <w:szCs w:val="32"/>
          <w:lang w:eastAsia="zh-CN" w:bidi="ar"/>
        </w:rPr>
        <w:t>2020</w:t>
      </w:r>
      <w:r>
        <w:rPr>
          <w:rFonts w:ascii="仿宋_GB2312" w:hAnsi="宋体" w:eastAsia="仿宋_GB2312" w:cs="仿宋_GB2312"/>
          <w:color w:val="000000"/>
          <w:kern w:val="0"/>
          <w:sz w:val="32"/>
          <w:szCs w:val="32"/>
          <w:lang w:bidi="ar"/>
        </w:rPr>
        <w:t>年</w:t>
      </w:r>
      <w:r>
        <w:rPr>
          <w:rFonts w:hint="eastAsia" w:ascii="仿宋_GB2312" w:hAnsi="宋体" w:eastAsia="仿宋_GB2312" w:cs="仿宋_GB2312"/>
          <w:color w:val="000000"/>
          <w:kern w:val="0"/>
          <w:sz w:val="32"/>
          <w:szCs w:val="32"/>
          <w:lang w:val="en-US" w:eastAsia="zh-CN" w:bidi="ar"/>
        </w:rPr>
        <w:t>度</w:t>
      </w:r>
      <w:r>
        <w:rPr>
          <w:rFonts w:ascii="仿宋_GB2312" w:hAnsi="宋体" w:eastAsia="仿宋_GB2312" w:cs="仿宋_GB2312"/>
          <w:color w:val="000000"/>
          <w:kern w:val="0"/>
          <w:sz w:val="32"/>
          <w:szCs w:val="32"/>
          <w:lang w:bidi="ar"/>
        </w:rPr>
        <w:t>“三公”经费财政拨款支出预算为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ascii="仿宋_GB2312" w:hAnsi="宋体" w:eastAsia="仿宋_GB2312" w:cs="仿宋_GB2312"/>
          <w:color w:val="000000"/>
          <w:kern w:val="0"/>
          <w:sz w:val="32"/>
          <w:szCs w:val="32"/>
          <w:lang w:bidi="ar"/>
        </w:rPr>
        <w:t>占</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w:t>
      </w:r>
    </w:p>
    <w:p>
      <w:pPr>
        <w:keepNext w:val="0"/>
        <w:keepLines w:val="0"/>
        <w:pageBreakBefore w:val="0"/>
        <w:numPr>
          <w:ilvl w:val="0"/>
          <w:numId w:val="0"/>
        </w:numPr>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eastAsia="zh-CN" w:bidi="ar"/>
        </w:rPr>
        <w:t>（二）</w:t>
      </w:r>
      <w:r>
        <w:rPr>
          <w:rFonts w:ascii="楷体_GB2312" w:hAnsi="宋体" w:eastAsia="楷体_GB2312" w:cs="楷体_GB2312"/>
          <w:b/>
          <w:color w:val="000000"/>
          <w:kern w:val="0"/>
          <w:sz w:val="32"/>
          <w:szCs w:val="32"/>
          <w:lang w:bidi="ar"/>
        </w:rPr>
        <w:t>“三公”经费财政拨款支出决算具体情况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color w:val="auto"/>
          <w:kern w:val="0"/>
          <w:sz w:val="32"/>
          <w:szCs w:val="32"/>
          <w:lang w:bidi="ar"/>
        </w:rPr>
      </w:pPr>
      <w:r>
        <w:rPr>
          <w:rFonts w:hint="eastAsia" w:ascii="仿宋_GB2312" w:hAnsi="仿宋_GB2312" w:eastAsia="仿宋_GB2312" w:cs="仿宋_GB2312"/>
          <w:color w:val="auto"/>
          <w:kern w:val="0"/>
          <w:sz w:val="32"/>
          <w:szCs w:val="32"/>
          <w:lang w:eastAsia="zh-CN" w:bidi="ar"/>
        </w:rPr>
        <w:t>2020</w:t>
      </w:r>
      <w:r>
        <w:rPr>
          <w:rFonts w:ascii="仿宋_GB2312" w:hAnsi="仿宋_GB2312" w:eastAsia="仿宋_GB2312" w:cs="仿宋_GB2312"/>
          <w:color w:val="auto"/>
          <w:kern w:val="0"/>
          <w:sz w:val="32"/>
          <w:szCs w:val="32"/>
          <w:lang w:bidi="ar"/>
        </w:rPr>
        <w:t>年</w:t>
      </w:r>
      <w:r>
        <w:rPr>
          <w:rFonts w:hint="eastAsia" w:ascii="仿宋_GB2312" w:hAnsi="仿宋_GB2312" w:eastAsia="仿宋_GB2312" w:cs="仿宋_GB2312"/>
          <w:color w:val="auto"/>
          <w:kern w:val="0"/>
          <w:sz w:val="32"/>
          <w:szCs w:val="32"/>
          <w:lang w:val="en-US" w:eastAsia="zh-CN" w:bidi="ar"/>
        </w:rPr>
        <w:t>度</w:t>
      </w:r>
      <w:r>
        <w:rPr>
          <w:rFonts w:ascii="仿宋_GB2312" w:hAnsi="仿宋_GB2312" w:eastAsia="仿宋_GB2312" w:cs="仿宋_GB2312"/>
          <w:color w:val="auto"/>
          <w:kern w:val="0"/>
          <w:sz w:val="32"/>
          <w:szCs w:val="32"/>
          <w:lang w:bidi="ar"/>
        </w:rPr>
        <w:t>“</w:t>
      </w:r>
      <w:r>
        <w:rPr>
          <w:rFonts w:hint="eastAsia" w:ascii="仿宋_GB2312" w:hAnsi="仿宋_GB2312" w:eastAsia="仿宋_GB2312" w:cs="仿宋_GB2312"/>
          <w:color w:val="auto"/>
          <w:kern w:val="0"/>
          <w:sz w:val="32"/>
          <w:szCs w:val="32"/>
          <w:lang w:val="en-US" w:eastAsia="zh-CN" w:bidi="ar"/>
        </w:rPr>
        <w:t>三</w:t>
      </w:r>
      <w:r>
        <w:rPr>
          <w:rFonts w:ascii="仿宋_GB2312" w:hAnsi="仿宋_GB2312" w:eastAsia="仿宋_GB2312" w:cs="仿宋_GB2312"/>
          <w:color w:val="auto"/>
          <w:kern w:val="0"/>
          <w:sz w:val="32"/>
          <w:szCs w:val="32"/>
          <w:lang w:bidi="ar"/>
        </w:rPr>
        <w:t>公”经费财政拨款支出决算中，因公出国（境）费支出决算</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万元，占</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%；公务用车购置</w:t>
      </w:r>
      <w:r>
        <w:rPr>
          <w:rFonts w:hint="eastAsia" w:ascii="仿宋_GB2312" w:hAnsi="仿宋_GB2312" w:eastAsia="仿宋_GB2312" w:cs="仿宋_GB2312"/>
          <w:color w:val="auto"/>
          <w:kern w:val="0"/>
          <w:sz w:val="32"/>
          <w:szCs w:val="32"/>
          <w:lang w:bidi="ar"/>
        </w:rPr>
        <w:t>费支出</w:t>
      </w:r>
      <w:r>
        <w:rPr>
          <w:rFonts w:hint="eastAsia" w:ascii="仿宋_GB2312" w:hAnsi="仿宋_GB2312" w:eastAsia="仿宋_GB2312" w:cs="仿宋_GB2312"/>
          <w:color w:val="auto"/>
          <w:kern w:val="0"/>
          <w:sz w:val="32"/>
          <w:szCs w:val="32"/>
          <w:lang w:val="en-US" w:eastAsia="zh-CN" w:bidi="ar"/>
        </w:rPr>
        <w:t>0</w:t>
      </w:r>
      <w:r>
        <w:rPr>
          <w:rFonts w:hint="eastAsia" w:ascii="仿宋_GB2312" w:hAnsi="仿宋_GB2312" w:eastAsia="仿宋_GB2312" w:cs="仿宋_GB2312"/>
          <w:color w:val="auto"/>
          <w:kern w:val="0"/>
          <w:sz w:val="32"/>
          <w:szCs w:val="32"/>
          <w:lang w:bidi="ar"/>
        </w:rPr>
        <w:t>万元，占</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%；公务用车运行</w:t>
      </w:r>
      <w:r>
        <w:rPr>
          <w:rFonts w:hint="eastAsia" w:ascii="仿宋_GB2312" w:hAnsi="仿宋_GB2312" w:eastAsia="仿宋_GB2312" w:cs="仿宋_GB2312"/>
          <w:color w:val="auto"/>
          <w:kern w:val="0"/>
          <w:sz w:val="32"/>
          <w:szCs w:val="32"/>
          <w:lang w:bidi="ar"/>
        </w:rPr>
        <w:t>维护</w:t>
      </w:r>
      <w:r>
        <w:rPr>
          <w:rFonts w:ascii="仿宋_GB2312" w:hAnsi="仿宋_GB2312" w:eastAsia="仿宋_GB2312" w:cs="仿宋_GB2312"/>
          <w:color w:val="auto"/>
          <w:kern w:val="0"/>
          <w:sz w:val="32"/>
          <w:szCs w:val="32"/>
          <w:lang w:bidi="ar"/>
        </w:rPr>
        <w:t>费支出决算</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万元，占</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%；公务接待费支出决算</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万元，占</w:t>
      </w:r>
      <w:r>
        <w:rPr>
          <w:rFonts w:hint="eastAsia" w:ascii="仿宋_GB2312" w:hAnsi="仿宋_GB2312" w:eastAsia="仿宋_GB2312" w:cs="仿宋_GB2312"/>
          <w:color w:val="auto"/>
          <w:kern w:val="0"/>
          <w:sz w:val="32"/>
          <w:szCs w:val="32"/>
          <w:lang w:val="en-US" w:eastAsia="zh-CN" w:bidi="ar"/>
        </w:rPr>
        <w:t>0</w:t>
      </w:r>
      <w:r>
        <w:rPr>
          <w:rFonts w:ascii="仿宋_GB2312" w:hAnsi="仿宋_GB2312" w:eastAsia="仿宋_GB2312" w:cs="仿宋_GB2312"/>
          <w:color w:val="auto"/>
          <w:kern w:val="0"/>
          <w:sz w:val="32"/>
          <w:szCs w:val="32"/>
          <w:lang w:bidi="ar"/>
        </w:rPr>
        <w:t>%。</w:t>
      </w:r>
    </w:p>
    <w:p>
      <w:pPr>
        <w:keepNext w:val="0"/>
        <w:keepLines w:val="0"/>
        <w:pageBreakBefore w:val="0"/>
        <w:numPr>
          <w:ilvl w:val="0"/>
          <w:numId w:val="2"/>
        </w:numPr>
        <w:kinsoku/>
        <w:wordWrap/>
        <w:overflowPunct/>
        <w:topLinePunct w:val="0"/>
        <w:autoSpaceDE/>
        <w:autoSpaceDN/>
        <w:bidi w:val="0"/>
        <w:spacing w:line="560" w:lineRule="exact"/>
        <w:ind w:firstLine="643" w:firstLineChars="200"/>
        <w:textAlignment w:val="auto"/>
        <w:rPr>
          <w:rFonts w:hint="eastAsia" w:ascii="仿宋_GB2312" w:hAnsi="仿宋" w:eastAsia="仿宋_GB2312"/>
          <w:b/>
          <w:bCs/>
          <w:sz w:val="32"/>
          <w:szCs w:val="32"/>
        </w:rPr>
      </w:pPr>
      <w:r>
        <w:rPr>
          <w:rFonts w:hint="eastAsia" w:ascii="仿宋_GB2312" w:hAnsi="仿宋" w:eastAsia="仿宋_GB2312"/>
          <w:b/>
          <w:bCs/>
          <w:sz w:val="32"/>
          <w:szCs w:val="32"/>
        </w:rPr>
        <w:t>因公出国（境）支出情况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numPr>
          <w:ilvl w:val="0"/>
          <w:numId w:val="0"/>
        </w:numPr>
        <w:kinsoku/>
        <w:wordWrap/>
        <w:overflowPunct/>
        <w:topLinePunct w:val="0"/>
        <w:autoSpaceDE/>
        <w:autoSpaceDN/>
        <w:bidi w:val="0"/>
        <w:spacing w:line="560" w:lineRule="exact"/>
        <w:ind w:firstLine="640" w:firstLineChars="200"/>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因公出国（境）团组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ascii="仿宋_GB2312" w:hAnsi="宋体" w:eastAsia="仿宋_GB2312" w:cs="仿宋_GB2312"/>
          <w:color w:val="000000"/>
          <w:kern w:val="0"/>
          <w:sz w:val="32"/>
          <w:szCs w:val="32"/>
          <w:lang w:bidi="ar"/>
        </w:rPr>
        <w:t>因公出国（境）</w:t>
      </w:r>
      <w:r>
        <w:rPr>
          <w:rFonts w:hint="eastAsia" w:ascii="仿宋_GB2312" w:hAnsi="宋体" w:eastAsia="仿宋_GB2312" w:cs="仿宋_GB2312"/>
          <w:color w:val="000000"/>
          <w:kern w:val="0"/>
          <w:sz w:val="32"/>
          <w:szCs w:val="32"/>
          <w:lang w:bidi="ar"/>
        </w:rPr>
        <w:t>费预算，故</w:t>
      </w:r>
      <w:r>
        <w:rPr>
          <w:rFonts w:ascii="仿宋_GB2312" w:hAnsi="宋体" w:eastAsia="仿宋_GB2312" w:cs="仿宋_GB2312"/>
          <w:color w:val="000000"/>
          <w:kern w:val="0"/>
          <w:sz w:val="32"/>
          <w:szCs w:val="32"/>
          <w:lang w:bidi="ar"/>
        </w:rPr>
        <w:t>因公出国（境）</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2.公务用车购置费用支出情况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费预算，故</w:t>
      </w:r>
      <w:r>
        <w:rPr>
          <w:rFonts w:ascii="仿宋_GB2312" w:hAnsi="宋体" w:eastAsia="仿宋_GB2312" w:cs="仿宋_GB2312"/>
          <w:color w:val="000000"/>
          <w:kern w:val="0"/>
          <w:sz w:val="32"/>
          <w:szCs w:val="32"/>
          <w:lang w:bidi="ar"/>
        </w:rPr>
        <w:t>公务用车购置</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b/>
          <w:bCs/>
          <w:sz w:val="32"/>
          <w:szCs w:val="32"/>
        </w:rPr>
      </w:pPr>
      <w:r>
        <w:rPr>
          <w:rFonts w:hint="eastAsia" w:ascii="仿宋_GB2312" w:hAnsi="仿宋" w:eastAsia="仿宋_GB2312"/>
          <w:b/>
          <w:bCs/>
          <w:sz w:val="32"/>
          <w:szCs w:val="32"/>
        </w:rPr>
        <w:t>3.公务用车运行维护费用支出情况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宋体" w:eastAsia="仿宋_GB2312" w:cs="仿宋_GB2312"/>
          <w:color w:val="000000"/>
          <w:kern w:val="0"/>
          <w:sz w:val="32"/>
          <w:szCs w:val="32"/>
          <w:lang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_GB2312" w:eastAsia="仿宋_GB2312" w:cs="仿宋_GB2312"/>
          <w:sz w:val="32"/>
          <w:szCs w:val="32"/>
        </w:rPr>
        <w:t>公务用车运行维护费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eastAsia="zh-CN" w:bidi="ar"/>
        </w:rPr>
        <w:t>。</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ascii="仿宋_GB2312" w:hAnsi="宋体" w:eastAsia="仿宋_GB2312" w:cs="仿宋_GB2312"/>
          <w:color w:val="000000"/>
          <w:kern w:val="0"/>
          <w:sz w:val="32"/>
          <w:szCs w:val="32"/>
          <w:lang w:bidi="ar"/>
        </w:rPr>
        <w:t>公务用车</w:t>
      </w:r>
      <w:r>
        <w:rPr>
          <w:rFonts w:hint="eastAsia" w:ascii="仿宋_GB2312" w:hAnsi="宋体" w:eastAsia="仿宋_GB2312" w:cs="仿宋_GB2312"/>
          <w:color w:val="000000"/>
          <w:kern w:val="0"/>
          <w:sz w:val="32"/>
          <w:szCs w:val="32"/>
          <w:lang w:val="en-US" w:eastAsia="zh-CN" w:bidi="ar"/>
        </w:rPr>
        <w:t>维护</w:t>
      </w:r>
      <w:r>
        <w:rPr>
          <w:rFonts w:hint="eastAsia" w:ascii="仿宋_GB2312" w:hAnsi="宋体" w:eastAsia="仿宋_GB2312" w:cs="仿宋_GB2312"/>
          <w:color w:val="000000"/>
          <w:kern w:val="0"/>
          <w:sz w:val="32"/>
          <w:szCs w:val="32"/>
          <w:lang w:bidi="ar"/>
        </w:rPr>
        <w:t>费预算，故</w:t>
      </w:r>
      <w:r>
        <w:rPr>
          <w:rFonts w:ascii="仿宋_GB2312" w:hAnsi="宋体" w:eastAsia="仿宋_GB2312" w:cs="仿宋_GB2312"/>
          <w:color w:val="000000"/>
          <w:kern w:val="0"/>
          <w:sz w:val="32"/>
          <w:szCs w:val="32"/>
          <w:lang w:bidi="ar"/>
        </w:rPr>
        <w:t>公务用车</w:t>
      </w:r>
      <w:r>
        <w:rPr>
          <w:rFonts w:hint="eastAsia" w:ascii="仿宋_GB2312" w:hAnsi="宋体" w:eastAsia="仿宋_GB2312" w:cs="仿宋_GB2312"/>
          <w:color w:val="000000"/>
          <w:kern w:val="0"/>
          <w:sz w:val="32"/>
          <w:szCs w:val="32"/>
          <w:lang w:val="en-US" w:eastAsia="zh-CN" w:bidi="ar"/>
        </w:rPr>
        <w:t>维护</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仿宋_GB2312" w:hAnsi="仿宋" w:eastAsia="仿宋_GB2312"/>
          <w:sz w:val="32"/>
          <w:szCs w:val="32"/>
        </w:rPr>
      </w:pPr>
      <w:r>
        <w:rPr>
          <w:rFonts w:hint="eastAsia" w:ascii="仿宋_GB2312" w:hAnsi="仿宋" w:eastAsia="仿宋_GB2312"/>
          <w:b/>
          <w:bCs/>
          <w:sz w:val="32"/>
          <w:szCs w:val="32"/>
        </w:rPr>
        <w:t>4.公务接待费支出情况</w:t>
      </w:r>
      <w:r>
        <w:rPr>
          <w:rFonts w:hint="eastAsia" w:ascii="楷体_GB2312" w:hAnsi="宋体" w:eastAsia="楷体_GB2312" w:cs="楷体_GB2312"/>
          <w:b/>
          <w:color w:val="000000"/>
          <w:kern w:val="0"/>
          <w:sz w:val="32"/>
          <w:szCs w:val="32"/>
          <w:lang w:eastAsia="zh-CN" w:bidi="ar"/>
        </w:rPr>
        <w:t>说明</w:t>
      </w:r>
      <w:r>
        <w:rPr>
          <w:rFonts w:hint="eastAsia" w:ascii="仿宋_GB2312" w:hAnsi="仿宋" w:eastAsia="仿宋_GB2312"/>
          <w:b/>
          <w:bCs/>
          <w:sz w:val="32"/>
          <w:szCs w:val="32"/>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 w:eastAsia="仿宋_GB2312"/>
          <w:sz w:val="32"/>
          <w:szCs w:val="32"/>
        </w:rPr>
        <w:t>公务接待</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批次，</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人次，</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hint="eastAsia" w:ascii="仿宋_GB2312" w:hAnsi="宋体" w:eastAsia="仿宋_GB2312" w:cs="仿宋_GB2312"/>
          <w:color w:val="000000"/>
          <w:kern w:val="0"/>
          <w:sz w:val="32"/>
          <w:szCs w:val="32"/>
          <w:lang w:val="en-US" w:eastAsia="zh-CN" w:bidi="ar"/>
        </w:rPr>
        <w:t>公务接待</w:t>
      </w:r>
      <w:r>
        <w:rPr>
          <w:rFonts w:hint="eastAsia" w:ascii="仿宋_GB2312" w:hAnsi="宋体" w:eastAsia="仿宋_GB2312" w:cs="仿宋_GB2312"/>
          <w:color w:val="000000"/>
          <w:kern w:val="0"/>
          <w:sz w:val="32"/>
          <w:szCs w:val="32"/>
          <w:lang w:bidi="ar"/>
        </w:rPr>
        <w:t>费预算，故</w:t>
      </w:r>
      <w:r>
        <w:rPr>
          <w:rFonts w:hint="eastAsia" w:ascii="仿宋_GB2312" w:hAnsi="宋体" w:eastAsia="仿宋_GB2312" w:cs="仿宋_GB2312"/>
          <w:color w:val="000000"/>
          <w:kern w:val="0"/>
          <w:sz w:val="32"/>
          <w:szCs w:val="32"/>
          <w:lang w:val="en-US" w:eastAsia="zh-CN" w:bidi="ar"/>
        </w:rPr>
        <w:t>公务接待</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（三）培训费支出情况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_GB2312" w:eastAsia="仿宋_GB2312" w:cs="仿宋_GB2312"/>
          <w:sz w:val="32"/>
          <w:szCs w:val="32"/>
        </w:rPr>
        <w:t>培训费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hint="eastAsia" w:ascii="仿宋_GB2312" w:hAnsi="宋体" w:eastAsia="仿宋_GB2312" w:cs="仿宋_GB2312"/>
          <w:color w:val="000000"/>
          <w:kern w:val="0"/>
          <w:sz w:val="32"/>
          <w:szCs w:val="32"/>
          <w:lang w:val="en-US" w:eastAsia="zh-CN" w:bidi="ar"/>
        </w:rPr>
        <w:t>培训</w:t>
      </w:r>
      <w:r>
        <w:rPr>
          <w:rFonts w:hint="eastAsia" w:ascii="仿宋_GB2312" w:hAnsi="宋体" w:eastAsia="仿宋_GB2312" w:cs="仿宋_GB2312"/>
          <w:color w:val="000000"/>
          <w:kern w:val="0"/>
          <w:sz w:val="32"/>
          <w:szCs w:val="32"/>
          <w:lang w:bidi="ar"/>
        </w:rPr>
        <w:t>费预算，故</w:t>
      </w:r>
      <w:r>
        <w:rPr>
          <w:rFonts w:hint="eastAsia" w:ascii="仿宋_GB2312" w:hAnsi="宋体" w:eastAsia="仿宋_GB2312" w:cs="仿宋_GB2312"/>
          <w:color w:val="000000"/>
          <w:kern w:val="0"/>
          <w:sz w:val="32"/>
          <w:szCs w:val="32"/>
          <w:lang w:val="en-US" w:eastAsia="zh-CN" w:bidi="ar"/>
        </w:rPr>
        <w:t>培训</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3" w:firstLineChars="200"/>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（四）会议费支出情况</w:t>
      </w:r>
      <w:r>
        <w:rPr>
          <w:rFonts w:hint="eastAsia" w:ascii="楷体_GB2312" w:hAnsi="宋体" w:eastAsia="楷体_GB2312" w:cs="楷体_GB2312"/>
          <w:b/>
          <w:color w:val="000000"/>
          <w:kern w:val="0"/>
          <w:sz w:val="32"/>
          <w:szCs w:val="32"/>
          <w:lang w:eastAsia="zh-CN" w:bidi="ar"/>
        </w:rPr>
        <w:t>说明</w:t>
      </w:r>
      <w:r>
        <w:rPr>
          <w:rFonts w:hint="eastAsia" w:ascii="楷体_GB2312" w:hAnsi="宋体" w:eastAsia="楷体_GB2312" w:cs="楷体_GB2312"/>
          <w:b/>
          <w:color w:val="000000"/>
          <w:kern w:val="0"/>
          <w:sz w:val="32"/>
          <w:szCs w:val="32"/>
          <w:lang w:bidi="ar"/>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宋体" w:eastAsia="仿宋_GB2312" w:cs="仿宋_GB2312"/>
          <w:color w:val="000000"/>
          <w:kern w:val="0"/>
          <w:sz w:val="32"/>
          <w:szCs w:val="32"/>
          <w:lang w:eastAsia="zh-CN" w:bidi="ar"/>
        </w:rPr>
      </w:pPr>
      <w:r>
        <w:rPr>
          <w:rFonts w:hint="eastAsia" w:ascii="仿宋_GB2312" w:hAnsi="仿宋" w:eastAsia="仿宋_GB2312"/>
          <w:sz w:val="32"/>
          <w:szCs w:val="32"/>
          <w:lang w:eastAsia="zh-CN"/>
        </w:rPr>
        <w:t>2020</w:t>
      </w:r>
      <w:r>
        <w:rPr>
          <w:rFonts w:hint="eastAsia" w:ascii="仿宋_GB2312" w:hAnsi="仿宋" w:eastAsia="仿宋_GB2312"/>
          <w:sz w:val="32"/>
          <w:szCs w:val="32"/>
        </w:rPr>
        <w:t>年</w:t>
      </w:r>
      <w:r>
        <w:rPr>
          <w:rFonts w:hint="eastAsia" w:ascii="仿宋_GB2312" w:hAnsi="仿宋" w:eastAsia="仿宋_GB2312"/>
          <w:sz w:val="32"/>
          <w:szCs w:val="32"/>
          <w:lang w:val="en-US" w:eastAsia="zh-CN"/>
        </w:rPr>
        <w:t>度</w:t>
      </w:r>
      <w:r>
        <w:rPr>
          <w:rFonts w:hint="eastAsia" w:ascii="仿宋_GB2312" w:hAnsi="仿宋_GB2312" w:eastAsia="仿宋_GB2312" w:cs="仿宋_GB2312"/>
          <w:sz w:val="32"/>
          <w:szCs w:val="32"/>
          <w:lang w:val="en-US" w:eastAsia="zh-CN"/>
        </w:rPr>
        <w:t>会议费</w:t>
      </w:r>
      <w:r>
        <w:rPr>
          <w:rFonts w:ascii="仿宋_GB2312" w:hAnsi="宋体" w:eastAsia="仿宋_GB2312" w:cs="仿宋_GB2312"/>
          <w:color w:val="000000"/>
          <w:kern w:val="0"/>
          <w:sz w:val="32"/>
          <w:szCs w:val="32"/>
          <w:lang w:bidi="ar"/>
        </w:rPr>
        <w:t>预算为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万元，支出决算为</w:t>
      </w:r>
      <w:r>
        <w:rPr>
          <w:rFonts w:hint="eastAsia" w:ascii="仿宋_GB2312" w:hAnsi="宋体" w:eastAsia="仿宋_GB2312" w:cs="仿宋_GB2312"/>
          <w:color w:val="000000"/>
          <w:kern w:val="0"/>
          <w:sz w:val="32"/>
          <w:szCs w:val="32"/>
          <w:lang w:val="en-US" w:eastAsia="zh-CN" w:bidi="ar"/>
        </w:rPr>
        <w:t>0</w:t>
      </w:r>
      <w:r>
        <w:rPr>
          <w:rFonts w:ascii="仿宋_GB2312" w:hAnsi="宋体" w:eastAsia="仿宋_GB2312" w:cs="仿宋_GB2312"/>
          <w:color w:val="000000"/>
          <w:kern w:val="0"/>
          <w:sz w:val="32"/>
          <w:szCs w:val="32"/>
          <w:lang w:bidi="ar"/>
        </w:rPr>
        <w:t>万元</w:t>
      </w:r>
      <w:r>
        <w:rPr>
          <w:rFonts w:hint="eastAsia" w:ascii="仿宋_GB2312" w:hAnsi="宋体" w:eastAsia="仿宋_GB2312" w:cs="仿宋_GB2312"/>
          <w:color w:val="000000"/>
          <w:kern w:val="0"/>
          <w:sz w:val="32"/>
          <w:szCs w:val="32"/>
          <w:lang w:bidi="ar"/>
        </w:rPr>
        <w:t>。因</w:t>
      </w:r>
      <w:r>
        <w:rPr>
          <w:rFonts w:hint="eastAsia" w:ascii="仿宋_GB2312" w:hAnsi="宋体" w:eastAsia="仿宋_GB2312" w:cs="仿宋_GB2312"/>
          <w:color w:val="000000"/>
          <w:kern w:val="0"/>
          <w:sz w:val="32"/>
          <w:szCs w:val="32"/>
          <w:lang w:val="en-US" w:eastAsia="zh-CN" w:bidi="ar"/>
        </w:rPr>
        <w:t>省农林水利气象工会</w:t>
      </w:r>
      <w:r>
        <w:rPr>
          <w:rFonts w:hint="eastAsia" w:ascii="仿宋_GB2312" w:hAnsi="宋体" w:eastAsia="仿宋_GB2312" w:cs="仿宋_GB2312"/>
          <w:color w:val="000000"/>
          <w:kern w:val="0"/>
          <w:sz w:val="32"/>
          <w:szCs w:val="32"/>
          <w:lang w:bidi="ar"/>
        </w:rPr>
        <w:t>无财政安排的</w:t>
      </w:r>
      <w:r>
        <w:rPr>
          <w:rFonts w:hint="eastAsia" w:ascii="仿宋_GB2312" w:hAnsi="宋体" w:eastAsia="仿宋_GB2312" w:cs="仿宋_GB2312"/>
          <w:color w:val="000000"/>
          <w:kern w:val="0"/>
          <w:sz w:val="32"/>
          <w:szCs w:val="32"/>
          <w:lang w:val="en-US" w:eastAsia="zh-CN" w:bidi="ar"/>
        </w:rPr>
        <w:t>会议</w:t>
      </w:r>
      <w:r>
        <w:rPr>
          <w:rFonts w:hint="eastAsia" w:ascii="仿宋_GB2312" w:hAnsi="宋体" w:eastAsia="仿宋_GB2312" w:cs="仿宋_GB2312"/>
          <w:color w:val="000000"/>
          <w:kern w:val="0"/>
          <w:sz w:val="32"/>
          <w:szCs w:val="32"/>
          <w:lang w:bidi="ar"/>
        </w:rPr>
        <w:t>费预算，故</w:t>
      </w:r>
      <w:r>
        <w:rPr>
          <w:rFonts w:hint="eastAsia" w:ascii="仿宋_GB2312" w:hAnsi="宋体" w:eastAsia="仿宋_GB2312" w:cs="仿宋_GB2312"/>
          <w:color w:val="000000"/>
          <w:kern w:val="0"/>
          <w:sz w:val="32"/>
          <w:szCs w:val="32"/>
          <w:lang w:val="en-US" w:eastAsia="zh-CN" w:bidi="ar"/>
        </w:rPr>
        <w:t>会议</w:t>
      </w:r>
      <w:r>
        <w:rPr>
          <w:rFonts w:hint="eastAsia" w:ascii="仿宋_GB2312" w:hAnsi="宋体" w:eastAsia="仿宋_GB2312" w:cs="仿宋_GB2312"/>
          <w:color w:val="000000"/>
          <w:kern w:val="0"/>
          <w:sz w:val="32"/>
          <w:szCs w:val="32"/>
          <w:lang w:bidi="ar"/>
        </w:rPr>
        <w:t>费</w:t>
      </w:r>
      <w:r>
        <w:rPr>
          <w:rFonts w:hint="eastAsia" w:ascii="仿宋_GB2312" w:hAnsi="宋体" w:eastAsia="仿宋_GB2312" w:cs="仿宋_GB2312"/>
          <w:color w:val="000000"/>
          <w:kern w:val="0"/>
          <w:sz w:val="32"/>
          <w:szCs w:val="32"/>
          <w:lang w:val="en-US" w:eastAsia="zh-CN" w:bidi="ar"/>
        </w:rPr>
        <w:t>支出</w:t>
      </w:r>
      <w:r>
        <w:rPr>
          <w:rFonts w:hint="eastAsia" w:ascii="仿宋_GB2312" w:hAnsi="宋体" w:eastAsia="仿宋_GB2312" w:cs="仿宋_GB2312"/>
          <w:color w:val="000000"/>
          <w:kern w:val="0"/>
          <w:sz w:val="32"/>
          <w:szCs w:val="32"/>
          <w:lang w:bidi="ar"/>
        </w:rPr>
        <w:t>为零</w:t>
      </w:r>
      <w:r>
        <w:rPr>
          <w:rFonts w:hint="eastAsia" w:ascii="仿宋_GB2312" w:hAnsi="宋体" w:eastAsia="仿宋_GB2312" w:cs="仿宋_GB2312"/>
          <w:color w:val="000000"/>
          <w:kern w:val="0"/>
          <w:sz w:val="32"/>
          <w:szCs w:val="32"/>
          <w:lang w:eastAsia="zh-CN" w:bidi="ar"/>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八、政府性基金预算财政拨款收入支出情况</w:t>
      </w:r>
      <w:r>
        <w:rPr>
          <w:rFonts w:hint="eastAsia" w:ascii="黑体" w:hAnsi="黑体" w:eastAsia="黑体"/>
          <w:color w:val="000000"/>
          <w:kern w:val="0"/>
          <w:sz w:val="32"/>
          <w:szCs w:val="32"/>
          <w:lang w:eastAsia="zh-CN" w:bidi="ar"/>
        </w:rPr>
        <w:t>说明</w:t>
      </w:r>
      <w:r>
        <w:rPr>
          <w:rFonts w:hint="eastAsia" w:ascii="黑体" w:hAnsi="黑体" w:eastAsia="黑体"/>
          <w:color w:val="000000"/>
          <w:kern w:val="0"/>
          <w:sz w:val="32"/>
          <w:szCs w:val="32"/>
          <w:lang w:bidi="ar"/>
        </w:rPr>
        <w:t xml:space="preserve"> </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本部门无政府性基金决算收支，并已公开空表</w:t>
      </w:r>
      <w:r>
        <w:rPr>
          <w:rFonts w:hint="eastAsia" w:ascii="仿宋_GB2312" w:hAnsi="仿宋_GB2312" w:eastAsia="仿宋_GB2312" w:cs="仿宋_GB2312"/>
          <w:sz w:val="32"/>
          <w:szCs w:val="32"/>
          <w:lang w:eastAsia="zh-CN"/>
        </w:rPr>
        <w:t>。</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九、国有资本经营财政拨款收</w:t>
      </w:r>
      <w:r>
        <w:rPr>
          <w:rFonts w:hint="eastAsia" w:ascii="黑体" w:hAnsi="黑体" w:eastAsia="黑体"/>
          <w:color w:val="000000"/>
          <w:kern w:val="0"/>
          <w:sz w:val="32"/>
          <w:szCs w:val="32"/>
          <w:lang w:eastAsia="zh-CN" w:bidi="ar"/>
        </w:rPr>
        <w:t>入</w:t>
      </w:r>
      <w:r>
        <w:rPr>
          <w:rFonts w:hint="eastAsia" w:ascii="黑体" w:hAnsi="黑体" w:eastAsia="黑体"/>
          <w:color w:val="000000"/>
          <w:kern w:val="0"/>
          <w:sz w:val="32"/>
          <w:szCs w:val="32"/>
          <w:lang w:bidi="ar"/>
        </w:rPr>
        <w:t>支</w:t>
      </w:r>
      <w:r>
        <w:rPr>
          <w:rFonts w:hint="eastAsia" w:ascii="黑体" w:hAnsi="黑体" w:eastAsia="黑体"/>
          <w:color w:val="000000"/>
          <w:kern w:val="0"/>
          <w:sz w:val="32"/>
          <w:szCs w:val="32"/>
          <w:lang w:eastAsia="zh-CN" w:bidi="ar"/>
        </w:rPr>
        <w:t>出</w:t>
      </w:r>
      <w:r>
        <w:rPr>
          <w:rFonts w:hint="eastAsia" w:ascii="黑体" w:hAnsi="黑体" w:eastAsia="黑体"/>
          <w:color w:val="000000"/>
          <w:kern w:val="0"/>
          <w:sz w:val="32"/>
          <w:szCs w:val="32"/>
          <w:lang w:bidi="ar"/>
        </w:rPr>
        <w:t>情况</w:t>
      </w:r>
      <w:r>
        <w:rPr>
          <w:rFonts w:hint="eastAsia" w:ascii="黑体" w:hAnsi="黑体" w:eastAsia="黑体"/>
          <w:color w:val="000000"/>
          <w:kern w:val="0"/>
          <w:sz w:val="32"/>
          <w:szCs w:val="32"/>
          <w:lang w:eastAsia="zh-CN" w:bidi="ar"/>
        </w:rPr>
        <w:t>说明</w:t>
      </w:r>
    </w:p>
    <w:p>
      <w:pPr>
        <w:keepNext w:val="0"/>
        <w:keepLines w:val="0"/>
        <w:pageBreakBefore w:val="0"/>
        <w:kinsoku/>
        <w:wordWrap/>
        <w:overflowPunct/>
        <w:topLinePunct w:val="0"/>
        <w:autoSpaceDE/>
        <w:autoSpaceDN/>
        <w:bidi w:val="0"/>
        <w:spacing w:line="560" w:lineRule="exact"/>
        <w:ind w:firstLine="64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本部门无国有资本经营决算拨款收支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并已公开空表</w:t>
      </w:r>
      <w:r>
        <w:rPr>
          <w:rFonts w:hint="eastAsia" w:ascii="仿宋_GB2312" w:hAnsi="仿宋_GB2312" w:eastAsia="仿宋_GB2312" w:cs="仿宋_GB2312"/>
          <w:sz w:val="32"/>
          <w:szCs w:val="32"/>
          <w:lang w:eastAsia="zh-CN"/>
        </w:rPr>
        <w:t>。</w:t>
      </w:r>
    </w:p>
    <w:p>
      <w:pPr>
        <w:widowControl/>
        <w:numPr>
          <w:ilvl w:val="0"/>
          <w:numId w:val="0"/>
        </w:numPr>
        <w:tabs>
          <w:tab w:val="left" w:pos="291"/>
        </w:tabs>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val="en-US" w:eastAsia="zh-CN" w:bidi="ar"/>
        </w:rPr>
        <w:t>十、机</w:t>
      </w:r>
      <w:r>
        <w:rPr>
          <w:rFonts w:hint="eastAsia" w:ascii="黑体" w:hAnsi="黑体" w:eastAsia="黑体"/>
          <w:color w:val="000000"/>
          <w:kern w:val="0"/>
          <w:sz w:val="32"/>
          <w:szCs w:val="32"/>
          <w:lang w:bidi="ar"/>
        </w:rPr>
        <w:t>关运行经费支出情况说明。</w:t>
      </w:r>
    </w:p>
    <w:p>
      <w:pPr>
        <w:spacing w:line="560" w:lineRule="exact"/>
        <w:ind w:firstLine="640" w:firstLineChars="200"/>
        <w:rPr>
          <w:rFonts w:ascii="楷体_GB2312" w:hAnsi="宋体" w:eastAsia="楷体_GB2312" w:cs="楷体_GB2312"/>
          <w:bCs/>
          <w:color w:val="000000"/>
          <w:kern w:val="0"/>
          <w:sz w:val="32"/>
          <w:szCs w:val="32"/>
          <w:lang w:bidi="ar"/>
        </w:rPr>
      </w:pPr>
      <w:r>
        <w:rPr>
          <w:rFonts w:hint="eastAsia" w:ascii="楷体_GB2312" w:hAnsi="宋体" w:eastAsia="楷体_GB2312" w:cs="楷体_GB2312"/>
          <w:bCs/>
          <w:color w:val="000000"/>
          <w:kern w:val="0"/>
          <w:sz w:val="32"/>
          <w:szCs w:val="32"/>
          <w:lang w:bidi="ar"/>
        </w:rPr>
        <w:t>本部门2020年机关运行经费</w:t>
      </w:r>
      <w:r>
        <w:rPr>
          <w:rFonts w:hint="eastAsia" w:ascii="楷体_GB2312" w:hAnsi="宋体" w:eastAsia="楷体_GB2312" w:cs="楷体_GB2312"/>
          <w:bCs/>
          <w:color w:val="000000"/>
          <w:kern w:val="0"/>
          <w:sz w:val="32"/>
          <w:szCs w:val="32"/>
          <w:lang w:val="en-US" w:eastAsia="zh-CN" w:bidi="ar"/>
        </w:rPr>
        <w:t>预算为0.04万元，支出决算</w:t>
      </w:r>
      <w:r>
        <w:rPr>
          <w:rFonts w:hint="eastAsia" w:ascii="楷体_GB2312" w:hAnsi="宋体" w:eastAsia="楷体_GB2312" w:cs="楷体_GB2312"/>
          <w:bCs/>
          <w:color w:val="000000"/>
          <w:kern w:val="0"/>
          <w:sz w:val="32"/>
          <w:szCs w:val="32"/>
          <w:lang w:bidi="ar"/>
        </w:rPr>
        <w:t>0.04万元</w:t>
      </w:r>
      <w:r>
        <w:rPr>
          <w:rFonts w:hint="eastAsia" w:ascii="楷体_GB2312" w:hAnsi="宋体" w:eastAsia="楷体_GB2312" w:cs="楷体_GB2312"/>
          <w:bCs/>
          <w:color w:val="000000"/>
          <w:kern w:val="0"/>
          <w:sz w:val="32"/>
          <w:szCs w:val="32"/>
          <w:lang w:eastAsia="zh-CN" w:bidi="ar"/>
        </w:rPr>
        <w:t>，</w:t>
      </w:r>
      <w:r>
        <w:rPr>
          <w:rFonts w:hint="eastAsia" w:ascii="楷体_GB2312" w:hAnsi="宋体" w:eastAsia="楷体_GB2312" w:cs="楷体_GB2312"/>
          <w:bCs/>
          <w:color w:val="000000"/>
          <w:kern w:val="0"/>
          <w:sz w:val="32"/>
          <w:szCs w:val="32"/>
          <w:lang w:val="en-US" w:eastAsia="zh-CN" w:bidi="ar"/>
        </w:rPr>
        <w:t>完成预算的100%</w:t>
      </w:r>
      <w:r>
        <w:rPr>
          <w:rFonts w:hint="eastAsia" w:ascii="楷体_GB2312" w:hAnsi="宋体" w:eastAsia="楷体_GB2312" w:cs="楷体_GB2312"/>
          <w:bCs/>
          <w:color w:val="000000"/>
          <w:kern w:val="0"/>
          <w:sz w:val="32"/>
          <w:szCs w:val="32"/>
          <w:lang w:bidi="ar"/>
        </w:rPr>
        <w:t>。</w:t>
      </w:r>
    </w:p>
    <w:p>
      <w:pPr>
        <w:widowControl/>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十一、政府采购支出情况说明</w:t>
      </w:r>
    </w:p>
    <w:p>
      <w:pPr>
        <w:keepNext w:val="0"/>
        <w:keepLines w:val="0"/>
        <w:pageBreakBefore w:val="0"/>
        <w:widowControl/>
        <w:kinsoku/>
        <w:wordWrap/>
        <w:overflowPunct/>
        <w:topLinePunct w:val="0"/>
        <w:autoSpaceDE/>
        <w:autoSpaceDN/>
        <w:bidi w:val="0"/>
        <w:spacing w:line="560" w:lineRule="exact"/>
        <w:ind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2020</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度</w:t>
      </w:r>
      <w:r>
        <w:rPr>
          <w:rFonts w:hint="eastAsia" w:ascii="仿宋_GB2312" w:hAnsi="仿宋_GB2312" w:eastAsia="仿宋_GB2312" w:cs="仿宋_GB2312"/>
          <w:sz w:val="32"/>
          <w:szCs w:val="32"/>
        </w:rPr>
        <w:t>本部门</w:t>
      </w:r>
      <w:r>
        <w:rPr>
          <w:rFonts w:hint="eastAsia" w:ascii="仿宋_GB2312" w:hAnsi="仿宋_GB2312" w:eastAsia="仿宋_GB2312" w:cs="仿宋_GB2312"/>
          <w:sz w:val="32"/>
          <w:szCs w:val="32"/>
          <w:lang w:val="en-US" w:eastAsia="zh-CN"/>
        </w:rPr>
        <w:t>使用财政拨款</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widowControl/>
        <w:numPr>
          <w:ilvl w:val="0"/>
          <w:numId w:val="0"/>
        </w:numPr>
        <w:spacing w:line="560" w:lineRule="exact"/>
        <w:ind w:firstLine="640" w:firstLineChars="200"/>
        <w:jc w:val="left"/>
        <w:rPr>
          <w:rFonts w:ascii="黑体" w:hAnsi="黑体" w:eastAsia="黑体"/>
          <w:color w:val="000000"/>
          <w:kern w:val="0"/>
          <w:sz w:val="32"/>
          <w:szCs w:val="32"/>
          <w:lang w:bidi="ar"/>
        </w:rPr>
      </w:pPr>
      <w:r>
        <w:rPr>
          <w:rFonts w:hint="eastAsia" w:ascii="黑体" w:hAnsi="黑体" w:eastAsia="黑体"/>
          <w:color w:val="000000"/>
          <w:kern w:val="0"/>
          <w:sz w:val="32"/>
          <w:szCs w:val="32"/>
          <w:lang w:bidi="ar"/>
        </w:rPr>
        <w:t>十</w:t>
      </w:r>
      <w:r>
        <w:rPr>
          <w:rFonts w:hint="eastAsia" w:ascii="黑体" w:hAnsi="黑体" w:eastAsia="黑体"/>
          <w:color w:val="000000"/>
          <w:kern w:val="0"/>
          <w:sz w:val="32"/>
          <w:szCs w:val="32"/>
          <w:lang w:val="en-US" w:eastAsia="zh-CN" w:bidi="ar"/>
        </w:rPr>
        <w:t>二</w:t>
      </w:r>
      <w:r>
        <w:rPr>
          <w:rFonts w:hint="eastAsia" w:ascii="黑体" w:hAnsi="黑体" w:eastAsia="黑体"/>
          <w:color w:val="000000"/>
          <w:kern w:val="0"/>
          <w:sz w:val="32"/>
          <w:szCs w:val="32"/>
          <w:lang w:bidi="ar"/>
        </w:rPr>
        <w:t>、国有资产占用及购置情况说明</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截至20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年末，本部门机关及所属单位共有车辆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年当年购置车辆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辆；购置单价50万元以上的通用设备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台（套）；购置单价100万元以上的专用设备</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台（套）。</w:t>
      </w:r>
    </w:p>
    <w:p>
      <w:pPr>
        <w:keepNext w:val="0"/>
        <w:keepLines w:val="0"/>
        <w:pageBreakBefore w:val="0"/>
        <w:widowControl/>
        <w:numPr>
          <w:ilvl w:val="0"/>
          <w:numId w:val="0"/>
        </w:numPr>
        <w:kinsoku/>
        <w:wordWrap/>
        <w:overflowPunct/>
        <w:topLinePunct w:val="0"/>
        <w:autoSpaceDE/>
        <w:autoSpaceDN/>
        <w:bidi w:val="0"/>
        <w:spacing w:line="560" w:lineRule="exact"/>
        <w:ind w:firstLine="640" w:firstLineChars="200"/>
        <w:jc w:val="left"/>
        <w:textAlignment w:val="auto"/>
        <w:rPr>
          <w:rFonts w:hint="eastAsia" w:ascii="黑体" w:hAnsi="黑体" w:eastAsia="黑体"/>
          <w:color w:val="000000"/>
          <w:kern w:val="0"/>
          <w:sz w:val="32"/>
          <w:szCs w:val="32"/>
          <w:lang w:eastAsia="zh-CN" w:bidi="ar"/>
        </w:rPr>
      </w:pPr>
      <w:r>
        <w:rPr>
          <w:rFonts w:hint="eastAsia" w:ascii="黑体" w:hAnsi="黑体" w:eastAsia="黑体"/>
          <w:color w:val="000000"/>
          <w:kern w:val="0"/>
          <w:sz w:val="32"/>
          <w:szCs w:val="32"/>
          <w:lang w:val="en-US" w:eastAsia="zh-CN" w:bidi="ar"/>
        </w:rPr>
        <w:t>十三、</w:t>
      </w:r>
      <w:r>
        <w:rPr>
          <w:rFonts w:hint="eastAsia" w:ascii="黑体" w:hAnsi="黑体" w:eastAsia="黑体"/>
          <w:color w:val="000000"/>
          <w:kern w:val="0"/>
          <w:sz w:val="32"/>
          <w:szCs w:val="32"/>
          <w:lang w:bidi="ar"/>
        </w:rPr>
        <w:t>预算绩效情况</w:t>
      </w:r>
      <w:r>
        <w:rPr>
          <w:rFonts w:hint="eastAsia" w:ascii="黑体" w:hAnsi="黑体" w:eastAsia="黑体"/>
          <w:color w:val="000000"/>
          <w:kern w:val="0"/>
          <w:sz w:val="32"/>
          <w:szCs w:val="32"/>
          <w:lang w:eastAsia="zh-CN" w:bidi="ar"/>
        </w:rPr>
        <w:t>说明</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（一）</w:t>
      </w:r>
      <w:r>
        <w:rPr>
          <w:rFonts w:ascii="楷体_GB2312" w:hAnsi="宋体" w:eastAsia="楷体_GB2312" w:cs="楷体_GB2312"/>
          <w:b/>
          <w:color w:val="000000"/>
          <w:kern w:val="0"/>
          <w:sz w:val="32"/>
          <w:szCs w:val="32"/>
          <w:lang w:bidi="ar"/>
        </w:rPr>
        <w:t>预算绩效管理工作开展情况</w:t>
      </w:r>
      <w:r>
        <w:rPr>
          <w:rFonts w:hint="eastAsia" w:ascii="楷体_GB2312" w:hAnsi="宋体" w:eastAsia="楷体_GB2312" w:cs="楷体_GB2312"/>
          <w:b/>
          <w:color w:val="000000"/>
          <w:kern w:val="0"/>
          <w:sz w:val="32"/>
          <w:szCs w:val="32"/>
          <w:lang w:eastAsia="zh-CN" w:bidi="ar"/>
        </w:rPr>
        <w:t>说明</w:t>
      </w:r>
      <w:r>
        <w:rPr>
          <w:rFonts w:ascii="楷体_GB2312" w:hAnsi="宋体" w:eastAsia="楷体_GB2312" w:cs="楷体_GB2312"/>
          <w:b/>
          <w:color w:val="000000"/>
          <w:kern w:val="0"/>
          <w:sz w:val="32"/>
          <w:szCs w:val="32"/>
          <w:lang w:bidi="ar"/>
        </w:rPr>
        <w:t>。</w:t>
      </w:r>
      <w:r>
        <w:rPr>
          <w:rFonts w:hint="eastAsia" w:ascii="楷体_GB2312" w:hAnsi="宋体" w:eastAsia="楷体_GB2312" w:cs="楷体_GB2312"/>
          <w:b/>
          <w:color w:val="000000"/>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 w:hAnsi="仿宋" w:eastAsia="仿宋" w:cs="仿宋"/>
          <w:sz w:val="32"/>
          <w:szCs w:val="40"/>
          <w:lang w:val="en-US" w:eastAsia="zh-CN"/>
        </w:rPr>
      </w:pPr>
      <w:r>
        <w:rPr>
          <w:rFonts w:hint="eastAsia" w:ascii="仿宋" w:hAnsi="仿宋" w:eastAsia="仿宋" w:cs="仿宋"/>
          <w:sz w:val="32"/>
          <w:szCs w:val="40"/>
          <w:lang w:val="en-US" w:eastAsia="zh-CN"/>
        </w:rPr>
        <w:t>本部门支出全为一般公共预算基本支出，无一般公共预算项目支出，故无</w:t>
      </w:r>
      <w:r>
        <w:rPr>
          <w:rFonts w:ascii="仿宋_GB2312" w:hAnsi="仿宋_GB2312" w:eastAsia="仿宋_GB2312" w:cs="仿宋_GB2312"/>
          <w:color w:val="auto"/>
          <w:kern w:val="0"/>
          <w:sz w:val="32"/>
          <w:szCs w:val="32"/>
          <w:highlight w:val="none"/>
          <w:lang w:bidi="ar"/>
        </w:rPr>
        <w:t>项目支出绩效</w:t>
      </w:r>
      <w:r>
        <w:rPr>
          <w:rFonts w:hint="eastAsia" w:ascii="仿宋_GB2312" w:hAnsi="仿宋_GB2312" w:eastAsia="仿宋_GB2312" w:cs="仿宋_GB2312"/>
          <w:color w:val="auto"/>
          <w:kern w:val="0"/>
          <w:sz w:val="32"/>
          <w:szCs w:val="32"/>
          <w:highlight w:val="none"/>
          <w:lang w:eastAsia="zh-CN" w:bidi="ar"/>
        </w:rPr>
        <w:t>评价。</w:t>
      </w:r>
    </w:p>
    <w:p>
      <w:pPr>
        <w:keepNext w:val="0"/>
        <w:keepLines w:val="0"/>
        <w:pageBreakBefore w:val="0"/>
        <w:widowControl/>
        <w:kinsoku/>
        <w:wordWrap/>
        <w:overflowPunct/>
        <w:topLinePunct w:val="0"/>
        <w:autoSpaceDE/>
        <w:autoSpaceDN/>
        <w:bidi w:val="0"/>
        <w:spacing w:line="560" w:lineRule="exact"/>
        <w:ind w:firstLine="643" w:firstLineChars="200"/>
        <w:jc w:val="left"/>
        <w:textAlignment w:val="auto"/>
        <w:rPr>
          <w:rFonts w:ascii="楷体_GB2312" w:hAnsi="宋体" w:eastAsia="楷体_GB2312" w:cs="楷体_GB2312"/>
          <w:b/>
          <w:color w:val="000000"/>
          <w:kern w:val="0"/>
          <w:sz w:val="32"/>
          <w:szCs w:val="32"/>
          <w:lang w:bidi="ar"/>
        </w:rPr>
      </w:pPr>
      <w:r>
        <w:rPr>
          <w:rFonts w:hint="eastAsia" w:ascii="楷体_GB2312" w:hAnsi="宋体" w:eastAsia="楷体_GB2312" w:cs="楷体_GB2312"/>
          <w:b/>
          <w:color w:val="000000"/>
          <w:kern w:val="0"/>
          <w:sz w:val="32"/>
          <w:szCs w:val="32"/>
          <w:lang w:bidi="ar"/>
        </w:rPr>
        <w:t>（二）</w:t>
      </w:r>
      <w:r>
        <w:rPr>
          <w:rFonts w:ascii="楷体_GB2312" w:hAnsi="宋体" w:eastAsia="楷体_GB2312" w:cs="楷体_GB2312"/>
          <w:b/>
          <w:color w:val="000000"/>
          <w:kern w:val="0"/>
          <w:sz w:val="32"/>
          <w:szCs w:val="32"/>
          <w:lang w:bidi="ar"/>
        </w:rPr>
        <w:t>部门决算中项目绩效自评结果。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楷体" w:hAnsi="楷体" w:eastAsia="楷体" w:cs="楷体"/>
          <w:sz w:val="32"/>
          <w:szCs w:val="32"/>
        </w:rPr>
      </w:pPr>
      <w:r>
        <w:rPr>
          <w:rFonts w:hint="eastAsia" w:ascii="仿宋" w:hAnsi="仿宋" w:eastAsia="仿宋" w:cs="仿宋"/>
          <w:sz w:val="32"/>
          <w:szCs w:val="40"/>
          <w:lang w:val="en-US" w:eastAsia="zh-CN"/>
        </w:rPr>
        <w:t>本部门支出全为一般公共预算基本支出，无一般公共预算项目支出，故无</w:t>
      </w:r>
      <w:r>
        <w:rPr>
          <w:rFonts w:ascii="仿宋_GB2312" w:hAnsi="仿宋_GB2312" w:eastAsia="仿宋_GB2312" w:cs="仿宋_GB2312"/>
          <w:color w:val="auto"/>
          <w:kern w:val="0"/>
          <w:sz w:val="32"/>
          <w:szCs w:val="32"/>
          <w:highlight w:val="none"/>
          <w:lang w:bidi="ar"/>
        </w:rPr>
        <w:t>项目支出绩效</w:t>
      </w:r>
      <w:r>
        <w:rPr>
          <w:rFonts w:hint="eastAsia" w:ascii="仿宋_GB2312" w:hAnsi="仿宋_GB2312" w:eastAsia="仿宋_GB2312" w:cs="仿宋_GB2312"/>
          <w:color w:val="auto"/>
          <w:kern w:val="0"/>
          <w:sz w:val="32"/>
          <w:szCs w:val="32"/>
          <w:highlight w:val="none"/>
          <w:lang w:val="en-US" w:eastAsia="zh-CN" w:bidi="ar"/>
        </w:rPr>
        <w:t>自评。</w:t>
      </w:r>
    </w:p>
    <w:p>
      <w:pPr>
        <w:rPr>
          <w:rFonts w:hint="eastAsia" w:ascii="楷体" w:hAnsi="楷体" w:eastAsia="楷体" w:cs="楷体"/>
          <w:b/>
          <w:bCs/>
          <w:sz w:val="32"/>
          <w:szCs w:val="40"/>
          <w:lang w:val="en-US" w:eastAsia="zh-CN"/>
        </w:rPr>
      </w:pPr>
      <w:r>
        <w:rPr>
          <w:rFonts w:hint="eastAsia" w:ascii="楷体" w:hAnsi="楷体" w:eastAsia="楷体" w:cs="楷体"/>
          <w:sz w:val="32"/>
          <w:szCs w:val="32"/>
          <w:lang w:eastAsia="zh-CN"/>
        </w:rPr>
        <w:object>
          <v:shape id="_x0000_i1025" o:spt="75" type="#_x0000_t75" style="height:641.05pt;width:546.25pt;" o:ole="t" filled="f" o:preferrelative="t" stroked="f" coordsize="21600,21600">
            <v:path/>
            <v:fill on="f" focussize="0,0"/>
            <v:stroke on="f"/>
            <v:imagedata r:id="rId13" o:title=""/>
            <o:lock v:ext="edit" aspectratio="t"/>
            <w10:wrap type="none"/>
            <w10:anchorlock/>
          </v:shape>
          <o:OLEObject Type="Embed" ProgID="Excel.Sheet.12" ShapeID="_x0000_i1025" DrawAspect="Content" ObjectID="_1468075725" r:id="rId12">
            <o:LockedField>false</o:LockedField>
          </o:OLEObject>
        </w:object>
      </w:r>
      <w:r>
        <w:rPr>
          <w:rFonts w:hint="eastAsia" w:ascii="楷体" w:hAnsi="楷体" w:eastAsia="楷体" w:cs="楷体"/>
          <w:sz w:val="32"/>
          <w:szCs w:val="32"/>
          <w:lang w:val="en-US" w:eastAsia="zh-CN"/>
        </w:rPr>
        <w:t xml:space="preserve">    </w:t>
      </w:r>
      <w:r>
        <w:rPr>
          <w:rFonts w:hint="eastAsia" w:ascii="楷体" w:hAnsi="楷体" w:eastAsia="楷体" w:cs="楷体"/>
          <w:b/>
          <w:bCs/>
          <w:sz w:val="32"/>
          <w:szCs w:val="40"/>
          <w:lang w:val="en-US" w:eastAsia="zh-CN"/>
        </w:rPr>
        <w:t>（三）部门整体支出绩效自评结果。</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eastAsia" w:ascii="仿宋" w:hAnsi="仿宋" w:eastAsia="仿宋" w:cs="仿宋"/>
          <w:sz w:val="32"/>
          <w:szCs w:val="40"/>
          <w:highlight w:val="none"/>
          <w:lang w:val="en-US" w:eastAsia="zh-CN"/>
        </w:rPr>
      </w:pPr>
      <w:r>
        <w:rPr>
          <w:rFonts w:hint="eastAsia" w:ascii="仿宋" w:hAnsi="仿宋" w:eastAsia="仿宋" w:cs="仿宋"/>
          <w:sz w:val="32"/>
          <w:szCs w:val="40"/>
          <w:highlight w:val="none"/>
          <w:lang w:val="en-US" w:eastAsia="zh-CN"/>
        </w:rPr>
        <w:t>根据部门整体支出绩效自评指标体系，本部门自评得分97分。部门整体支出全年预算数85.85万元，执行数</w:t>
      </w:r>
      <w:r>
        <w:rPr>
          <w:rFonts w:hint="eastAsia" w:ascii="仿宋_GB2312" w:hAnsi="仿宋_GB2312" w:eastAsia="仿宋_GB2312" w:cs="仿宋_GB2312"/>
          <w:color w:val="auto"/>
          <w:sz w:val="32"/>
          <w:highlight w:val="none"/>
          <w:lang w:val="en-US" w:eastAsia="zh-CN"/>
        </w:rPr>
        <w:t>85.85</w:t>
      </w:r>
      <w:r>
        <w:rPr>
          <w:rFonts w:hint="eastAsia" w:ascii="仿宋" w:hAnsi="仿宋" w:eastAsia="仿宋" w:cs="仿宋"/>
          <w:sz w:val="32"/>
          <w:szCs w:val="40"/>
          <w:highlight w:val="none"/>
          <w:lang w:val="en-US" w:eastAsia="zh-CN"/>
        </w:rPr>
        <w:t>万元，完成预算的100%。</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仿宋" w:hAnsi="仿宋" w:eastAsia="仿宋" w:cs="仿宋"/>
          <w:sz w:val="32"/>
          <w:szCs w:val="40"/>
          <w:highlight w:val="none"/>
          <w:lang w:val="en-US" w:eastAsia="zh-CN"/>
        </w:rPr>
      </w:pPr>
      <w:r>
        <w:rPr>
          <w:rFonts w:hint="eastAsia" w:ascii="仿宋" w:hAnsi="仿宋" w:eastAsia="仿宋" w:cs="仿宋"/>
          <w:sz w:val="32"/>
          <w:szCs w:val="40"/>
          <w:highlight w:val="none"/>
          <w:lang w:val="en-US" w:eastAsia="zh-CN"/>
        </w:rPr>
        <w:t>根据</w:t>
      </w:r>
      <w:r>
        <w:rPr>
          <w:rFonts w:hint="default" w:ascii="仿宋" w:hAnsi="仿宋" w:eastAsia="仿宋" w:cs="仿宋"/>
          <w:sz w:val="32"/>
          <w:szCs w:val="40"/>
          <w:highlight w:val="none"/>
          <w:lang w:val="en-US" w:eastAsia="zh-CN"/>
        </w:rPr>
        <w:t>本</w:t>
      </w:r>
      <w:r>
        <w:rPr>
          <w:rFonts w:hint="eastAsia" w:ascii="仿宋" w:hAnsi="仿宋" w:eastAsia="仿宋" w:cs="仿宋"/>
          <w:sz w:val="32"/>
          <w:szCs w:val="40"/>
          <w:highlight w:val="none"/>
          <w:lang w:val="en-US" w:eastAsia="zh-CN"/>
        </w:rPr>
        <w:t>部门</w:t>
      </w:r>
      <w:r>
        <w:rPr>
          <w:rFonts w:hint="default" w:ascii="仿宋" w:hAnsi="仿宋" w:eastAsia="仿宋" w:cs="仿宋"/>
          <w:sz w:val="32"/>
          <w:szCs w:val="40"/>
          <w:highlight w:val="none"/>
          <w:lang w:val="en-US" w:eastAsia="zh-CN"/>
        </w:rPr>
        <w:t>年初工作规划和重点工作，围绕</w:t>
      </w:r>
      <w:r>
        <w:rPr>
          <w:rFonts w:hint="eastAsia" w:ascii="仿宋" w:hAnsi="仿宋" w:eastAsia="仿宋" w:cs="仿宋"/>
          <w:sz w:val="32"/>
          <w:szCs w:val="40"/>
          <w:highlight w:val="none"/>
          <w:lang w:val="en-US" w:eastAsia="zh-CN"/>
        </w:rPr>
        <w:t>省</w:t>
      </w:r>
      <w:r>
        <w:rPr>
          <w:rFonts w:hint="default" w:ascii="仿宋" w:hAnsi="仿宋" w:eastAsia="仿宋" w:cs="仿宋"/>
          <w:sz w:val="32"/>
          <w:szCs w:val="40"/>
          <w:highlight w:val="none"/>
          <w:lang w:val="en-US" w:eastAsia="zh-CN"/>
        </w:rPr>
        <w:t>委、</w:t>
      </w:r>
      <w:r>
        <w:rPr>
          <w:rFonts w:hint="eastAsia" w:ascii="仿宋" w:hAnsi="仿宋" w:eastAsia="仿宋" w:cs="仿宋"/>
          <w:sz w:val="32"/>
          <w:szCs w:val="40"/>
          <w:highlight w:val="none"/>
          <w:lang w:val="en-US" w:eastAsia="zh-CN"/>
        </w:rPr>
        <w:t>省</w:t>
      </w:r>
      <w:r>
        <w:rPr>
          <w:rFonts w:hint="default" w:ascii="仿宋" w:hAnsi="仿宋" w:eastAsia="仿宋" w:cs="仿宋"/>
          <w:sz w:val="32"/>
          <w:szCs w:val="40"/>
          <w:highlight w:val="none"/>
          <w:lang w:val="en-US" w:eastAsia="zh-CN"/>
        </w:rPr>
        <w:t>政府以及省</w:t>
      </w:r>
      <w:r>
        <w:rPr>
          <w:rFonts w:hint="eastAsia" w:ascii="仿宋" w:hAnsi="仿宋" w:eastAsia="仿宋" w:cs="仿宋"/>
          <w:sz w:val="32"/>
          <w:szCs w:val="40"/>
          <w:highlight w:val="none"/>
          <w:lang w:val="en-US" w:eastAsia="zh-CN"/>
        </w:rPr>
        <w:t>总</w:t>
      </w:r>
      <w:r>
        <w:rPr>
          <w:rFonts w:hint="default" w:ascii="仿宋" w:hAnsi="仿宋" w:eastAsia="仿宋" w:cs="仿宋"/>
          <w:sz w:val="32"/>
          <w:szCs w:val="40"/>
          <w:highlight w:val="none"/>
          <w:lang w:val="en-US" w:eastAsia="zh-CN"/>
        </w:rPr>
        <w:t>的工作部署，积极履行职责，强化管理，</w:t>
      </w:r>
      <w:r>
        <w:rPr>
          <w:rFonts w:hint="eastAsia" w:ascii="仿宋" w:hAnsi="仿宋" w:eastAsia="仿宋" w:cs="仿宋"/>
          <w:sz w:val="32"/>
          <w:szCs w:val="40"/>
          <w:highlight w:val="none"/>
          <w:lang w:val="en-US" w:eastAsia="zh-CN"/>
        </w:rPr>
        <w:t>圆满</w:t>
      </w:r>
      <w:r>
        <w:rPr>
          <w:rFonts w:hint="default" w:ascii="仿宋" w:hAnsi="仿宋" w:eastAsia="仿宋" w:cs="仿宋"/>
          <w:sz w:val="32"/>
          <w:szCs w:val="40"/>
          <w:highlight w:val="none"/>
          <w:lang w:val="en-US" w:eastAsia="zh-CN"/>
        </w:rPr>
        <w:t>地完成了年度工作目标</w:t>
      </w:r>
      <w:r>
        <w:rPr>
          <w:rFonts w:hint="eastAsia" w:ascii="仿宋" w:hAnsi="仿宋" w:eastAsia="仿宋" w:cs="仿宋"/>
          <w:sz w:val="32"/>
          <w:szCs w:val="40"/>
          <w:highlight w:val="none"/>
          <w:lang w:val="en-US" w:eastAsia="zh-CN"/>
        </w:rPr>
        <w:t>任务</w:t>
      </w:r>
      <w:r>
        <w:rPr>
          <w:rFonts w:hint="default" w:ascii="仿宋" w:hAnsi="仿宋" w:eastAsia="仿宋" w:cs="仿宋"/>
          <w:sz w:val="32"/>
          <w:szCs w:val="40"/>
          <w:highlight w:val="none"/>
          <w:lang w:val="en-US"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560" w:lineRule="exact"/>
        <w:ind w:firstLine="640" w:firstLineChars="200"/>
        <w:textAlignment w:val="auto"/>
        <w:rPr>
          <w:rFonts w:hint="default" w:ascii="瀹嬩綋" w:hAnsi="瀹嬩綋" w:eastAsia="瀹嬩綋" w:cs="瀹嬩綋"/>
          <w:i w:val="0"/>
          <w:caps w:val="0"/>
          <w:color w:val="000000"/>
          <w:spacing w:val="0"/>
          <w:sz w:val="21"/>
          <w:szCs w:val="21"/>
          <w:highlight w:val="none"/>
          <w:lang w:val="en-US"/>
        </w:rPr>
      </w:pPr>
      <w:r>
        <w:rPr>
          <w:rFonts w:hint="eastAsia" w:ascii="仿宋" w:hAnsi="仿宋" w:eastAsia="仿宋" w:cs="仿宋"/>
          <w:sz w:val="32"/>
          <w:szCs w:val="40"/>
          <w:highlight w:val="none"/>
          <w:lang w:val="en-US" w:eastAsia="zh-CN"/>
        </w:rPr>
        <w:t>今后的打算：</w:t>
      </w:r>
      <w:r>
        <w:rPr>
          <w:rFonts w:hint="default" w:ascii="仿宋" w:hAnsi="仿宋" w:eastAsia="仿宋" w:cs="仿宋"/>
          <w:sz w:val="32"/>
          <w:szCs w:val="40"/>
          <w:highlight w:val="none"/>
          <w:lang w:val="en-US" w:eastAsia="zh-CN"/>
        </w:rPr>
        <w:t>一是</w:t>
      </w:r>
      <w:r>
        <w:rPr>
          <w:rFonts w:hint="eastAsia" w:ascii="仿宋" w:hAnsi="仿宋" w:eastAsia="仿宋" w:cs="仿宋"/>
          <w:sz w:val="32"/>
          <w:szCs w:val="40"/>
          <w:highlight w:val="none"/>
          <w:lang w:val="en-US" w:eastAsia="zh-CN"/>
        </w:rPr>
        <w:t>进一步加强预算编制工作，按照实际需求科学合理测算各项支出，确保各项工作正常运转和发展。二是狠抓支出进度，确保实际支出进度科学合理，提高执行率。</w:t>
      </w:r>
    </w:p>
    <w:p>
      <w:pPr>
        <w:rPr>
          <w:rFonts w:hint="eastAsia" w:ascii="楷体" w:hAnsi="楷体" w:eastAsia="楷体" w:cs="楷体"/>
          <w:sz w:val="32"/>
          <w:szCs w:val="32"/>
          <w:lang w:eastAsia="zh-CN"/>
        </w:rPr>
      </w:pPr>
    </w:p>
    <w:p>
      <w:pPr>
        <w:keepNext w:val="0"/>
        <w:keepLines w:val="0"/>
        <w:pageBreakBefore w:val="0"/>
        <w:widowControl/>
        <w:numPr>
          <w:ilvl w:val="0"/>
          <w:numId w:val="0"/>
        </w:numPr>
        <w:kinsoku/>
        <w:wordWrap/>
        <w:overflowPunct/>
        <w:topLinePunct w:val="0"/>
        <w:autoSpaceDE/>
        <w:autoSpaceDN/>
        <w:bidi w:val="0"/>
        <w:spacing w:line="560" w:lineRule="exact"/>
        <w:jc w:val="left"/>
        <w:textAlignment w:val="auto"/>
        <w:rPr>
          <w:rFonts w:hint="eastAsia" w:ascii="黑体" w:hAnsi="黑体" w:eastAsia="黑体"/>
          <w:color w:val="000000"/>
          <w:kern w:val="0"/>
          <w:sz w:val="32"/>
          <w:szCs w:val="32"/>
          <w:lang w:val="en-US" w:eastAsia="zh-CN" w:bidi="ar"/>
        </w:rPr>
      </w:pPr>
    </w:p>
    <w:p>
      <w:pPr>
        <w:keepNext w:val="0"/>
        <w:keepLines w:val="0"/>
        <w:pageBreakBefore w:val="0"/>
        <w:widowControl/>
        <w:kinsoku/>
        <w:wordWrap/>
        <w:overflowPunct/>
        <w:topLinePunct w:val="0"/>
        <w:autoSpaceDE/>
        <w:autoSpaceDN/>
        <w:bidi w:val="0"/>
        <w:adjustRightInd/>
        <w:snapToGrid/>
        <w:spacing w:line="240" w:lineRule="auto"/>
        <w:ind w:left="420" w:leftChars="200"/>
        <w:jc w:val="left"/>
        <w:textAlignment w:val="auto"/>
        <w:rPr>
          <w:rFonts w:hint="eastAsia" w:ascii="黑体" w:hAnsi="黑体" w:eastAsia="黑体"/>
          <w:color w:val="000000"/>
          <w:kern w:val="0"/>
          <w:sz w:val="32"/>
          <w:szCs w:val="32"/>
          <w:lang w:bidi="ar"/>
        </w:rPr>
      </w:pPr>
    </w:p>
    <w:p>
      <w:pPr>
        <w:jc w:val="center"/>
        <w:rPr>
          <w:rFonts w:hint="eastAsia" w:ascii="方正小标宋简体" w:hAnsi="方正小标宋简体" w:eastAsia="方正小标宋简体" w:cs="方正小标宋简体"/>
          <w:sz w:val="44"/>
          <w:szCs w:val="44"/>
        </w:rPr>
      </w:pPr>
      <w:r>
        <w:rPr>
          <w:rFonts w:hint="eastAsia" w:ascii="楷体" w:hAnsi="楷体" w:eastAsia="楷体" w:cs="楷体"/>
          <w:sz w:val="32"/>
          <w:szCs w:val="32"/>
          <w:lang w:eastAsia="zh-CN"/>
        </w:rPr>
        <w:object>
          <v:shape id="_x0000_i1026" o:spt="75" type="#_x0000_t75" style="height:676.35pt;width:450.1pt;" o:ole="t" filled="f" o:preferrelative="t" stroked="f" coordsize="21600,21600">
            <v:path/>
            <v:fill on="f" focussize="0,0"/>
            <v:stroke on="f"/>
            <v:imagedata r:id="rId15" o:title=""/>
            <o:lock v:ext="edit" aspectratio="t"/>
            <w10:wrap type="none"/>
            <w10:anchorlock/>
          </v:shape>
          <o:OLEObject Type="Embed" ProgID="Excel.Sheet.12" ShapeID="_x0000_i1026" DrawAspect="Content" ObjectID="_1468075726" r:id="rId14">
            <o:LockedField>false</o:LockedField>
          </o:OLEObject>
        </w:object>
      </w:r>
      <w:r>
        <w:rPr>
          <w:rFonts w:hint="eastAsia" w:ascii="方正小标宋简体" w:hAnsi="方正小标宋简体" w:eastAsia="方正小标宋简体" w:cs="方正小标宋简体"/>
          <w:color w:val="000000"/>
          <w:kern w:val="0"/>
          <w:sz w:val="44"/>
          <w:szCs w:val="44"/>
          <w:lang w:bidi="ar"/>
        </w:rPr>
        <w:t>第四部分 专业名词解释</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1.基本支出</w:t>
      </w:r>
      <w:r>
        <w:rPr>
          <w:rFonts w:hint="eastAsia" w:ascii="仿宋_GB2312" w:hAnsi="仿宋_GB2312" w:eastAsia="仿宋_GB2312" w:cs="仿宋_GB2312"/>
          <w:sz w:val="32"/>
          <w:szCs w:val="32"/>
        </w:rPr>
        <w:t>：指为保障机构正常运转、完成日常工作任务而发生的各项支出。</w:t>
      </w:r>
    </w:p>
    <w:p>
      <w:pPr>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2.项目支出</w:t>
      </w:r>
      <w:r>
        <w:rPr>
          <w:rFonts w:hint="eastAsia" w:ascii="仿宋_GB2312" w:hAnsi="仿宋_GB2312" w:eastAsia="仿宋_GB2312" w:cs="仿宋_GB2312"/>
          <w:sz w:val="32"/>
          <w:szCs w:val="32"/>
        </w:rPr>
        <w:t>：指单位为完成特定的行政工作任务或事业发展目标所发生的各项支出。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3.“三公”经费</w:t>
      </w:r>
      <w:r>
        <w:rPr>
          <w:rFonts w:hint="eastAsia" w:ascii="仿宋_GB2312" w:hAnsi="仿宋_GB2312" w:eastAsia="仿宋_GB2312" w:cs="仿宋_GB2312"/>
          <w:sz w:val="32"/>
          <w:szCs w:val="32"/>
        </w:rPr>
        <w:t>：指部门使用一般公共预算财政拨款安排的因公出国（境）费、公务用车购置及运行费和公务接待费支出。</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4.财政拨款收入</w:t>
      </w:r>
      <w:r>
        <w:rPr>
          <w:rFonts w:hint="eastAsia" w:ascii="仿宋_GB2312" w:hAnsi="仿宋_GB2312" w:eastAsia="仿宋_GB2312" w:cs="仿宋_GB2312"/>
          <w:sz w:val="32"/>
          <w:szCs w:val="32"/>
        </w:rPr>
        <w:t>：指本级财政当年拨付的资金。</w:t>
      </w:r>
    </w:p>
    <w:p>
      <w:pPr>
        <w:rPr>
          <w:rFonts w:ascii="黑体" w:hAnsi="宋体" w:eastAsia="黑体"/>
          <w:color w:val="000000"/>
          <w:kern w:val="0"/>
          <w:sz w:val="44"/>
          <w:szCs w:val="44"/>
          <w:lang w:bidi="ar"/>
        </w:rPr>
      </w:pPr>
    </w:p>
    <w:p>
      <w:pPr>
        <w:rPr>
          <w:rFonts w:ascii="黑体" w:hAnsi="宋体" w:eastAsia="黑体"/>
          <w:color w:val="000000"/>
          <w:kern w:val="0"/>
          <w:sz w:val="44"/>
          <w:szCs w:val="44"/>
          <w:lang w:bidi="ar"/>
        </w:rPr>
      </w:pPr>
    </w:p>
    <w:sectPr>
      <w:footerReference r:id="rId4" w:type="default"/>
      <w:pgSz w:w="11906" w:h="16838"/>
      <w:pgMar w:top="2098" w:right="1474" w:bottom="1984" w:left="1587" w:header="851" w:footer="992" w:gutter="0"/>
      <w:pgNumType w:start="1"/>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modern"/>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0000000000000000000"/>
    <w:charset w:val="00"/>
    <w:family w:val="auto"/>
    <w:pitch w:val="default"/>
    <w:sig w:usb0="00000000" w:usb1="00000000" w:usb2="00000000" w:usb3="00000000" w:csb0="00000000" w:csb1="00000000"/>
  </w:font>
  <w:font w:name="瀹嬩綋">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v:fill on="f" focussize="0,0"/>
              <v:stroke on="f" weight="0.5pt"/>
              <v:imagedata o:title=""/>
              <o:lock v:ext="edit" aspectratio="f"/>
              <v:textbox inset="0mm,0mm,0mm,0mm" style="mso-fit-shape-to-text:t;">
                <w:txbxContent>
                  <w:p>
                    <w:pPr>
                      <w:pStyle w:val="6"/>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posOffset>2434590</wp:posOffset>
              </wp:positionH>
              <wp:positionV relativeFrom="paragraph">
                <wp:posOffset>21590</wp:posOffset>
              </wp:positionV>
              <wp:extent cx="669290" cy="168275"/>
              <wp:effectExtent l="0" t="0" r="0" b="0"/>
              <wp:wrapNone/>
              <wp:docPr id="4" name="文本框 4"/>
              <wp:cNvGraphicFramePr/>
              <a:graphic xmlns:a="http://schemas.openxmlformats.org/drawingml/2006/main">
                <a:graphicData uri="http://schemas.microsoft.com/office/word/2010/wordprocessingShape">
                  <wps:wsp>
                    <wps:cNvSpPr txBox="1"/>
                    <wps:spPr>
                      <a:xfrm>
                        <a:off x="0" y="0"/>
                        <a:ext cx="669290" cy="1682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left:191.7pt;margin-top:1.7pt;height:13.25pt;width:52.7pt;mso-position-horizontal-relative:margin;z-index:251660288;mso-width-relative:page;mso-height-relative:page;" filled="f" stroked="f" coordsize="21600,21600" o:gfxdata="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D5AXD62AAAAAgBAAAPAAAA&#10;AAAAAAEAIAAAACIAAABkcnMvZG93bnJldi54bWxQSwECFAAUAAAACACHTuJAjhcPXBUCAAAHBAAA&#10;DgAAAAAAAAABACAAAAAnAQAAZHJzL2Uyb0RvYy54bWxQSwUGAAAAAAYABgBZAQAArgUAAAAA&#10;">
              <v:fill on="f" focussize="0,0"/>
              <v:stroke on="f" weight="0.5pt"/>
              <v:imagedata o:title=""/>
              <o:lock v:ext="edit" aspectratio="f"/>
              <v:textbox inset="0mm,0mm,0mm,0mm">
                <w:txbxContent>
                  <w:p>
                    <w:pPr>
                      <w:pStyle w:val="6"/>
                    </w:pP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fldChar w:fldCharType="begin"/>
                    </w:r>
                    <w:r>
                      <w:rPr>
                        <w:rFonts w:hint="eastAsia" w:asciiTheme="minorEastAsia" w:hAnsiTheme="minorEastAsia" w:eastAsiaTheme="minorEastAsia" w:cstheme="minorEastAsia"/>
                        <w:sz w:val="24"/>
                      </w:rPr>
                      <w:instrText xml:space="preserve"> PAGE  \* MERGEFORMAT </w:instrText>
                    </w:r>
                    <w:r>
                      <w:rPr>
                        <w:rFonts w:hint="eastAsia" w:asciiTheme="minorEastAsia" w:hAnsiTheme="minorEastAsia" w:eastAsiaTheme="minorEastAsia" w:cstheme="minorEastAsia"/>
                        <w:sz w:val="24"/>
                      </w:rPr>
                      <w:fldChar w:fldCharType="separate"/>
                    </w:r>
                    <w:r>
                      <w:rPr>
                        <w:rFonts w:asciiTheme="minorEastAsia" w:hAnsiTheme="minorEastAsia" w:eastAsiaTheme="minorEastAsia" w:cstheme="minorEastAsia"/>
                        <w:sz w:val="24"/>
                      </w:rPr>
                      <w:t>14</w:t>
                    </w:r>
                    <w:r>
                      <w:rPr>
                        <w:rFonts w:hint="eastAsia" w:asciiTheme="minorEastAsia" w:hAnsiTheme="minorEastAsia" w:eastAsiaTheme="minorEastAsia" w:cstheme="minorEastAsia"/>
                        <w:sz w:val="24"/>
                      </w:rPr>
                      <w:fldChar w:fldCharType="end"/>
                    </w:r>
                    <w:r>
                      <w:rPr>
                        <w:rFonts w:hint="eastAsia" w:asciiTheme="minorEastAsia" w:hAnsiTheme="minorEastAsia" w:eastAsiaTheme="minorEastAsia" w:cstheme="minorEastAsia"/>
                        <w:sz w:val="24"/>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62AC72"/>
    <w:multiLevelType w:val="singleLevel"/>
    <w:tmpl w:val="8062AC72"/>
    <w:lvl w:ilvl="0" w:tentative="0">
      <w:start w:val="7"/>
      <w:numFmt w:val="chineseCounting"/>
      <w:suff w:val="nothing"/>
      <w:lvlText w:val="%1、"/>
      <w:lvlJc w:val="left"/>
      <w:rPr>
        <w:rFonts w:hint="eastAsia"/>
      </w:rPr>
    </w:lvl>
  </w:abstractNum>
  <w:abstractNum w:abstractNumId="1">
    <w:nsid w:val="611E1B83"/>
    <w:multiLevelType w:val="singleLevel"/>
    <w:tmpl w:val="611E1B83"/>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HorizontalSpacing w:val="105"/>
  <w:drawingGridVerticalSpacing w:val="315"/>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A6038"/>
    <w:rsid w:val="00050E89"/>
    <w:rsid w:val="00092874"/>
    <w:rsid w:val="00146787"/>
    <w:rsid w:val="0015146C"/>
    <w:rsid w:val="00164001"/>
    <w:rsid w:val="0017049D"/>
    <w:rsid w:val="001D7568"/>
    <w:rsid w:val="002424C8"/>
    <w:rsid w:val="002A7893"/>
    <w:rsid w:val="003364E9"/>
    <w:rsid w:val="00452E2E"/>
    <w:rsid w:val="004B6D6E"/>
    <w:rsid w:val="00813F4A"/>
    <w:rsid w:val="008D4883"/>
    <w:rsid w:val="008F25A1"/>
    <w:rsid w:val="00B80654"/>
    <w:rsid w:val="00C30A0C"/>
    <w:rsid w:val="00CA7DF1"/>
    <w:rsid w:val="00CD50FF"/>
    <w:rsid w:val="00CE2EF9"/>
    <w:rsid w:val="00E8111E"/>
    <w:rsid w:val="00F329EE"/>
    <w:rsid w:val="00F50C9C"/>
    <w:rsid w:val="013B79AC"/>
    <w:rsid w:val="01BE4C9B"/>
    <w:rsid w:val="01D57E5A"/>
    <w:rsid w:val="06197D92"/>
    <w:rsid w:val="085168DE"/>
    <w:rsid w:val="08E42EAC"/>
    <w:rsid w:val="0C8B2DEB"/>
    <w:rsid w:val="0D0F054F"/>
    <w:rsid w:val="10BB651B"/>
    <w:rsid w:val="125E2600"/>
    <w:rsid w:val="132E46A0"/>
    <w:rsid w:val="135556F4"/>
    <w:rsid w:val="14411117"/>
    <w:rsid w:val="15496E08"/>
    <w:rsid w:val="1586116E"/>
    <w:rsid w:val="18BB4AD7"/>
    <w:rsid w:val="1A155A07"/>
    <w:rsid w:val="1B4534FE"/>
    <w:rsid w:val="1B4A3FDA"/>
    <w:rsid w:val="1B524C98"/>
    <w:rsid w:val="1C5E2F73"/>
    <w:rsid w:val="1CF51BD8"/>
    <w:rsid w:val="1D6E0C0D"/>
    <w:rsid w:val="1EF768A5"/>
    <w:rsid w:val="20EF4457"/>
    <w:rsid w:val="221C15BB"/>
    <w:rsid w:val="23E4344C"/>
    <w:rsid w:val="24524423"/>
    <w:rsid w:val="29785A6B"/>
    <w:rsid w:val="2B547244"/>
    <w:rsid w:val="2D1F3974"/>
    <w:rsid w:val="2D657953"/>
    <w:rsid w:val="2DB52EF2"/>
    <w:rsid w:val="2DB810A5"/>
    <w:rsid w:val="318C1BE0"/>
    <w:rsid w:val="31AA6038"/>
    <w:rsid w:val="33887EE3"/>
    <w:rsid w:val="34677C61"/>
    <w:rsid w:val="3B121AD1"/>
    <w:rsid w:val="3B577067"/>
    <w:rsid w:val="3C0D61D4"/>
    <w:rsid w:val="3CFD0D2E"/>
    <w:rsid w:val="3E236666"/>
    <w:rsid w:val="402A0A06"/>
    <w:rsid w:val="41603979"/>
    <w:rsid w:val="41CF436B"/>
    <w:rsid w:val="4299496A"/>
    <w:rsid w:val="443B2E6C"/>
    <w:rsid w:val="45F20252"/>
    <w:rsid w:val="4619368A"/>
    <w:rsid w:val="463021CB"/>
    <w:rsid w:val="4CBC023F"/>
    <w:rsid w:val="4D6E0FDF"/>
    <w:rsid w:val="4EE4307A"/>
    <w:rsid w:val="5153143F"/>
    <w:rsid w:val="53CE3F8A"/>
    <w:rsid w:val="54F12DEE"/>
    <w:rsid w:val="55147C14"/>
    <w:rsid w:val="57AD386C"/>
    <w:rsid w:val="5B8D564A"/>
    <w:rsid w:val="5E5C0AEA"/>
    <w:rsid w:val="65074FBA"/>
    <w:rsid w:val="66377D5A"/>
    <w:rsid w:val="6D6F127C"/>
    <w:rsid w:val="71086DB5"/>
    <w:rsid w:val="754F4216"/>
    <w:rsid w:val="75C31473"/>
    <w:rsid w:val="763B2EA0"/>
    <w:rsid w:val="76675743"/>
    <w:rsid w:val="7A611E97"/>
    <w:rsid w:val="7C3E5E46"/>
    <w:rsid w:val="7EE759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rPr>
      <w:rFonts w:ascii="等线" w:hAnsi="等线" w:eastAsia="等线" w:cs="Times New Roman"/>
      <w:szCs w:val="22"/>
    </w:rPr>
  </w:style>
  <w:style w:type="paragraph" w:styleId="3">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4">
    <w:name w:val="annotation text"/>
    <w:basedOn w:val="1"/>
    <w:link w:val="13"/>
    <w:qFormat/>
    <w:uiPriority w:val="0"/>
    <w:pPr>
      <w:jc w:val="left"/>
    </w:pPr>
  </w:style>
  <w:style w:type="paragraph" w:styleId="5">
    <w:name w:val="Balloon Text"/>
    <w:basedOn w:val="1"/>
    <w:link w:val="15"/>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annotation subject"/>
    <w:basedOn w:val="4"/>
    <w:next w:val="4"/>
    <w:link w:val="14"/>
    <w:qFormat/>
    <w:uiPriority w:val="0"/>
    <w:rPr>
      <w:b/>
      <w:bCs/>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annotation reference"/>
    <w:basedOn w:val="11"/>
    <w:qFormat/>
    <w:uiPriority w:val="0"/>
    <w:rPr>
      <w:sz w:val="21"/>
      <w:szCs w:val="21"/>
    </w:rPr>
  </w:style>
  <w:style w:type="character" w:customStyle="1" w:styleId="13">
    <w:name w:val="批注文字 Char"/>
    <w:basedOn w:val="11"/>
    <w:link w:val="4"/>
    <w:qFormat/>
    <w:uiPriority w:val="0"/>
    <w:rPr>
      <w:rFonts w:ascii="Calibri" w:hAnsi="Calibri" w:cs="黑体"/>
      <w:kern w:val="2"/>
      <w:sz w:val="21"/>
      <w:szCs w:val="24"/>
    </w:rPr>
  </w:style>
  <w:style w:type="character" w:customStyle="1" w:styleId="14">
    <w:name w:val="批注主题 Char"/>
    <w:basedOn w:val="13"/>
    <w:link w:val="8"/>
    <w:qFormat/>
    <w:uiPriority w:val="0"/>
    <w:rPr>
      <w:rFonts w:ascii="Calibri" w:hAnsi="Calibri" w:cs="黑体"/>
      <w:b/>
      <w:bCs/>
      <w:kern w:val="2"/>
      <w:sz w:val="21"/>
      <w:szCs w:val="24"/>
    </w:rPr>
  </w:style>
  <w:style w:type="character" w:customStyle="1" w:styleId="15">
    <w:name w:val="批注框文本 Char"/>
    <w:basedOn w:val="11"/>
    <w:link w:val="5"/>
    <w:qFormat/>
    <w:uiPriority w:val="0"/>
    <w:rPr>
      <w:rFonts w:ascii="Calibri" w:hAnsi="Calibri" w:cs="黑体"/>
      <w:kern w:val="2"/>
      <w:sz w:val="18"/>
      <w:szCs w:val="18"/>
    </w:rPr>
  </w:style>
  <w:style w:type="paragraph" w:styleId="1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emf"/><Relationship Id="rId14" Type="http://schemas.openxmlformats.org/officeDocument/2006/relationships/oleObject" Target="embeddings/oleObject2.bin"/><Relationship Id="rId13" Type="http://schemas.openxmlformats.org/officeDocument/2006/relationships/image" Target="media/image1.emf"/><Relationship Id="rId12" Type="http://schemas.openxmlformats.org/officeDocument/2006/relationships/oleObject" Target="embeddings/oleObject1.bin"/><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esktop\&#26032;&#24314;%20Microsoft%20Excel%20&#24037;&#20316;&#349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HP\Desktop\&#26032;&#24314;%20Microsoft%20Excel%20&#24037;&#20316;&#349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Desktop\&#22270;&#34920;&#25968;&#25454;.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L\Desktop\&#22270;&#34920;&#25968;&#25454;.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HP\Desktop\&#26032;&#24314;%20Microsoft%20Excel%20&#24037;&#20316;&#3492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HP\Desktop\&#26032;&#24314;%20Microsoft%20Excel%20&#24037;&#20316;&#3492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latin typeface="仿宋_GB2312" panose="02010609030101010101" charset="-122"/>
                <a:ea typeface="仿宋_GB2312" panose="02010609030101010101" charset="-122"/>
              </a:rPr>
              <a:t>单位人员情况</a:t>
            </a:r>
            <a:r>
              <a:rPr lang="en-US" altLang="zh-CN"/>
              <a:t> </a:t>
            </a:r>
            <a:r>
              <a:rPr altLang="en-US" sz="1500" b="0">
                <a:latin typeface="仿宋_GB2312" panose="02010609030101010101" charset="-122"/>
                <a:ea typeface="仿宋_GB2312" panose="02010609030101010101" charset="-122"/>
                <a:cs typeface="仿宋_GB2312" panose="02010609030101010101" charset="-122"/>
              </a:rPr>
              <a:t>（</a:t>
            </a:r>
            <a:r>
              <a:rPr lang="en-US" altLang="zh-CN" sz="1500" b="0">
                <a:latin typeface="仿宋_GB2312" panose="02010609030101010101" charset="-122"/>
                <a:ea typeface="仿宋_GB2312" panose="02010609030101010101" charset="-122"/>
                <a:cs typeface="仿宋_GB2312" panose="02010609030101010101" charset="-122"/>
              </a:rPr>
              <a:t> </a:t>
            </a:r>
            <a:r>
              <a:rPr altLang="en-US" sz="1500" b="0">
                <a:latin typeface="仿宋_GB2312" panose="02010609030101010101" charset="-122"/>
                <a:ea typeface="仿宋_GB2312" panose="02010609030101010101" charset="-122"/>
                <a:cs typeface="仿宋_GB2312" panose="02010609030101010101" charset="-122"/>
              </a:rPr>
              <a:t>单位：人）</a:t>
            </a:r>
            <a:endParaRPr lang="zh-CN" altLang="en-US" sz="1600" b="0"/>
          </a:p>
          <a:p>
            <a:pPr>
              <a:defRPr lang="zh-CN" sz="1800" b="1" i="0" u="none" strike="noStrike" kern="1200" baseline="0">
                <a:solidFill>
                  <a:schemeClr val="tx1"/>
                </a:solidFill>
                <a:latin typeface="+mn-lt"/>
                <a:ea typeface="+mn-ea"/>
                <a:cs typeface="+mn-cs"/>
              </a:defRPr>
            </a:pPr>
            <a:r>
              <a:rPr lang="en-US" altLang="zh-CN" sz="1600"/>
              <a:t>                 </a:t>
            </a:r>
            <a:endParaRPr lang="en-US" altLang="en-US" sz="1600" b="0"/>
          </a:p>
        </c:rich>
      </c:tx>
      <c:layout>
        <c:manualLayout>
          <c:xMode val="edge"/>
          <c:yMode val="edge"/>
          <c:x val="0.339166666666667"/>
          <c:y val="0.0277777777777778"/>
        </c:manualLayout>
      </c:layout>
      <c:overlay val="0"/>
    </c:title>
    <c:autoTitleDeleted val="0"/>
    <c:plotArea>
      <c:layout/>
      <c:barChart>
        <c:barDir val="col"/>
        <c:grouping val="clustered"/>
        <c:varyColors val="0"/>
        <c:ser>
          <c:idx val="0"/>
          <c:order val="0"/>
          <c:tx>
            <c:strRef>
              <c:f>Sheet1!$A$2</c:f>
              <c:strCache>
                <c:ptCount val="1"/>
                <c:pt idx="0">
                  <c:v>编制人数</c:v>
                </c:pt>
              </c:strCache>
            </c:strRef>
          </c:tx>
          <c:invertIfNegative val="0"/>
          <c:dLbls>
            <c:delete val="1"/>
          </c:dLbls>
          <c:cat>
            <c:strRef>
              <c:f>Sheet1!$B$1</c:f>
              <c:strCache>
                <c:ptCount val="1"/>
                <c:pt idx="0">
                  <c:v>行政编制</c:v>
                </c:pt>
              </c:strCache>
            </c:strRef>
          </c:cat>
          <c:val>
            <c:numRef>
              <c:f>Sheet1!$B$2</c:f>
              <c:numCache>
                <c:formatCode>General</c:formatCode>
                <c:ptCount val="1"/>
                <c:pt idx="0">
                  <c:v>8</c:v>
                </c:pt>
              </c:numCache>
            </c:numRef>
          </c:val>
        </c:ser>
        <c:ser>
          <c:idx val="1"/>
          <c:order val="1"/>
          <c:tx>
            <c:strRef>
              <c:f>Sheet1!$A$3</c:f>
              <c:strCache>
                <c:ptCount val="1"/>
                <c:pt idx="0">
                  <c:v>实有人数</c:v>
                </c:pt>
              </c:strCache>
            </c:strRef>
          </c:tx>
          <c:invertIfNegative val="0"/>
          <c:dLbls>
            <c:delete val="1"/>
          </c:dLbls>
          <c:cat>
            <c:strRef>
              <c:f>Sheet1!$B$1</c:f>
              <c:strCache>
                <c:ptCount val="1"/>
                <c:pt idx="0">
                  <c:v>行政编制</c:v>
                </c:pt>
              </c:strCache>
            </c:strRef>
          </c:cat>
          <c:val>
            <c:numRef>
              <c:f>Sheet1!$B$3</c:f>
              <c:numCache>
                <c:formatCode>General</c:formatCode>
                <c:ptCount val="1"/>
                <c:pt idx="0">
                  <c:v>8</c:v>
                </c:pt>
              </c:numCache>
            </c:numRef>
          </c:val>
        </c:ser>
        <c:dLbls>
          <c:showLegendKey val="0"/>
          <c:showVal val="0"/>
          <c:showCatName val="0"/>
          <c:showSerName val="0"/>
          <c:showPercent val="0"/>
          <c:showBubbleSize val="0"/>
        </c:dLbls>
        <c:gapWidth val="150"/>
        <c:axId val="238495232"/>
        <c:axId val="238529920"/>
      </c:barChart>
      <c:catAx>
        <c:axId val="23849523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529920"/>
        <c:crosses val="autoZero"/>
        <c:auto val="1"/>
        <c:lblAlgn val="ctr"/>
        <c:lblOffset val="100"/>
        <c:noMultiLvlLbl val="0"/>
      </c:catAx>
      <c:valAx>
        <c:axId val="238529920"/>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人数</a:t>
                </a:r>
                <a:endParaRPr lang="zh-CN" altLang="en-US"/>
              </a:p>
            </c:rich>
          </c:tx>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38495232"/>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r>
              <a:rPr lang="en-US" altLang="zh-CN">
                <a:latin typeface="仿宋_GB2312" panose="02010609030101010101" charset="-122"/>
                <a:ea typeface="仿宋_GB2312" panose="02010609030101010101" charset="-122"/>
                <a:cs typeface="仿宋_GB2312" panose="02010609030101010101" charset="-122"/>
                <a:sym typeface="仿宋_GB2312" panose="02010609030101010101" charset="-122"/>
              </a:rPr>
              <a:t>   </a:t>
            </a:r>
            <a:r>
              <a:rPr lang="zh-CN" altLang="en-US">
                <a:latin typeface="仿宋_GB2312" panose="02010609030101010101" charset="-122"/>
                <a:ea typeface="仿宋_GB2312" panose="02010609030101010101" charset="-122"/>
                <a:cs typeface="仿宋_GB2312" panose="02010609030101010101" charset="-122"/>
                <a:sym typeface="仿宋_GB2312" panose="02010609030101010101" charset="-122"/>
              </a:rPr>
              <a:t>收入支出对比表</a:t>
            </a:r>
            <a:r>
              <a:rPr lang="zh-CN" altLang="en-US" sz="1400" b="0">
                <a:latin typeface="仿宋_GB2312" panose="02010609030101010101" charset="-122"/>
                <a:ea typeface="仿宋_GB2312" panose="02010609030101010101" charset="-122"/>
                <a:cs typeface="仿宋_GB2312" panose="02010609030101010101" charset="-122"/>
                <a:sym typeface="仿宋_GB2312" panose="02010609030101010101" charset="-122"/>
              </a:rPr>
              <a:t>（单位：万元）</a:t>
            </a:r>
            <a:endParaRPr lang="zh-CN" altLang="en-US" sz="1400" b="0">
              <a:latin typeface="仿宋_GB2312" panose="02010609030101010101" charset="-122"/>
              <a:ea typeface="仿宋_GB2312" panose="02010609030101010101" charset="-122"/>
              <a:cs typeface="仿宋_GB2312" panose="02010609030101010101" charset="-122"/>
              <a:sym typeface="仿宋_GB2312" panose="02010609030101010101" charset="-122"/>
            </a:endParaRPr>
          </a:p>
        </c:rich>
      </c:tx>
      <c:layout>
        <c:manualLayout>
          <c:xMode val="edge"/>
          <c:yMode val="edge"/>
          <c:x val="0.135694444444444"/>
          <c:y val="0.0238425925925926"/>
        </c:manualLayout>
      </c:layout>
      <c:overlay val="0"/>
    </c:title>
    <c:autoTitleDeleted val="0"/>
    <c:plotArea>
      <c:layout/>
      <c:barChart>
        <c:barDir val="col"/>
        <c:grouping val="clustered"/>
        <c:varyColors val="0"/>
        <c:ser>
          <c:idx val="0"/>
          <c:order val="0"/>
          <c:tx>
            <c:strRef>
              <c:f>Sheet2!$A$2</c:f>
              <c:strCache>
                <c:ptCount val="1"/>
                <c:pt idx="0">
                  <c:v>2019年</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Sheet2!$B$1:$C$1</c:f>
              <c:strCache>
                <c:ptCount val="2"/>
                <c:pt idx="0">
                  <c:v>总收入</c:v>
                </c:pt>
                <c:pt idx="1">
                  <c:v>总支出</c:v>
                </c:pt>
              </c:strCache>
            </c:strRef>
          </c:cat>
          <c:val>
            <c:numRef>
              <c:f>Sheet2!$B$2:$C$2</c:f>
              <c:numCache>
                <c:formatCode>General</c:formatCode>
                <c:ptCount val="2"/>
                <c:pt idx="0">
                  <c:v>63.35</c:v>
                </c:pt>
                <c:pt idx="1">
                  <c:v>63.35</c:v>
                </c:pt>
              </c:numCache>
            </c:numRef>
          </c:val>
        </c:ser>
        <c:ser>
          <c:idx val="1"/>
          <c:order val="1"/>
          <c:tx>
            <c:strRef>
              <c:f>Sheet2!$A$3</c:f>
              <c:strCache>
                <c:ptCount val="1"/>
                <c:pt idx="0">
                  <c:v>2020年</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Sheet2!$B$1:$C$1</c:f>
              <c:strCache>
                <c:ptCount val="2"/>
                <c:pt idx="0">
                  <c:v>总收入</c:v>
                </c:pt>
                <c:pt idx="1">
                  <c:v>总支出</c:v>
                </c:pt>
              </c:strCache>
            </c:strRef>
          </c:cat>
          <c:val>
            <c:numRef>
              <c:f>Sheet2!$B$3:$C$3</c:f>
              <c:numCache>
                <c:formatCode>General</c:formatCode>
                <c:ptCount val="2"/>
                <c:pt idx="0">
                  <c:v>85.85</c:v>
                </c:pt>
                <c:pt idx="1">
                  <c:v>85.85</c:v>
                </c:pt>
              </c:numCache>
            </c:numRef>
          </c:val>
        </c:ser>
        <c:dLbls>
          <c:showLegendKey val="0"/>
          <c:showVal val="1"/>
          <c:showCatName val="0"/>
          <c:showSerName val="0"/>
          <c:showPercent val="0"/>
          <c:showBubbleSize val="0"/>
        </c:dLbls>
        <c:gapWidth val="150"/>
        <c:overlap val="-25"/>
        <c:axId val="314861440"/>
        <c:axId val="314862976"/>
      </c:barChart>
      <c:catAx>
        <c:axId val="314861440"/>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crossAx val="314862976"/>
        <c:crosses val="autoZero"/>
        <c:auto val="1"/>
        <c:lblAlgn val="ctr"/>
        <c:lblOffset val="100"/>
        <c:noMultiLvlLbl val="0"/>
      </c:catAx>
      <c:valAx>
        <c:axId val="31486297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crossAx val="314861440"/>
        <c:crosses val="autoZero"/>
        <c:crossBetween val="between"/>
      </c:valAx>
    </c:plotArea>
    <c:legend>
      <c:legendPos val="t"/>
      <c:legendEntry>
        <c:idx val="0"/>
        <c:txPr>
          <a:bodyPr rot="0" spcFirstLastPara="0" vertOverflow="ellipsis" vert="horz" wrap="square"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Entry>
      <c:legendEntry>
        <c:idx val="1"/>
        <c:txPr>
          <a:bodyPr rot="0" spcFirstLastPara="0" vertOverflow="ellipsis" vert="horz" wrap="square"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Entry>
      <c:layout/>
      <c:overlay val="0"/>
      <c:txPr>
        <a:bodyPr rot="0" spcFirstLastPara="0" vertOverflow="ellipsis" vert="horz" wrap="square" anchor="ctr" anchorCtr="1"/>
        <a:lstStyle/>
        <a:p>
          <a:pPr>
            <a:defRPr lang="zh-CN" sz="1000" b="0" i="0" u="none" strike="noStrike" kern="1200" baseline="0">
              <a:solidFill>
                <a:schemeClr val="tx1"/>
              </a:solidFill>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legend>
    <c:plotVisOnly val="1"/>
    <c:dispBlanksAs val="gap"/>
    <c:showDLblsOverMax val="0"/>
  </c:chart>
  <c:txPr>
    <a:bodyPr/>
    <a:lstStyle/>
    <a:p>
      <a:pPr>
        <a:defRPr lang="zh-CN">
          <a:latin typeface="仿宋_GB2312" panose="02010609030101010101" charset="-122"/>
          <a:ea typeface="仿宋_GB2312" panose="02010609030101010101" charset="-122"/>
          <a:cs typeface="仿宋_GB2312" panose="02010609030101010101" charset="-122"/>
          <a:sym typeface="仿宋_GB2312" panose="02010609030101010101" charset="-122"/>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4"/>
    </mc:Choice>
    <mc:Fallback>
      <c:style val="4"/>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收入决算情况</a:t>
            </a:r>
            <a:r>
              <a:rPr lang="en-US" altLang="zh-CN"/>
              <a:t>   </a:t>
            </a:r>
            <a:r>
              <a:rPr lang="zh-CN" sz="1400" b="0">
                <a:latin typeface="仿宋_GB2312" panose="02010609030101010101" charset="-122"/>
                <a:ea typeface="仿宋_GB2312" panose="02010609030101010101" charset="-122"/>
              </a:rPr>
              <a:t>（单位：万元）</a:t>
            </a:r>
            <a:endParaRPr lang="zh-CN" sz="1400" b="0">
              <a:latin typeface="仿宋_GB2312" panose="02010609030101010101" charset="-122"/>
              <a:ea typeface="仿宋_GB2312" panose="02010609030101010101" charset="-122"/>
            </a:endParaRPr>
          </a:p>
        </c:rich>
      </c:tx>
      <c:layout>
        <c:manualLayout>
          <c:xMode val="edge"/>
          <c:yMode val="edge"/>
          <c:x val="0.197927807486631"/>
          <c:y val="0.0273037542662116"/>
        </c:manualLayout>
      </c:layout>
      <c:overlay val="0"/>
    </c:title>
    <c:autoTitleDeleted val="0"/>
    <c:plotArea>
      <c:layout/>
      <c:pieChart>
        <c:varyColors val="1"/>
        <c:ser>
          <c:idx val="1"/>
          <c:order val="1"/>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'[图表数据.xlsx]Sheet3 (2)'!$A$1</c:f>
              <c:strCache>
                <c:ptCount val="1"/>
                <c:pt idx="0">
                  <c:v>一般公共预算财政拨款收入</c:v>
                </c:pt>
              </c:strCache>
            </c:strRef>
          </c:cat>
          <c:val>
            <c:numRef>
              <c:f>'[图表数据.xlsx]Sheet3 (2)'!$B$1</c:f>
              <c:numCache>
                <c:formatCode>General</c:formatCode>
                <c:ptCount val="1"/>
                <c:pt idx="0">
                  <c:v>85.85</c:v>
                </c:pt>
              </c:numCache>
            </c:numRef>
          </c:val>
        </c:ser>
        <c:ser>
          <c:idx val="0"/>
          <c:order val="0"/>
          <c:explosion val="0"/>
          <c:dPt>
            <c:idx val="0"/>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ext>
            </c:extLst>
          </c:dLbls>
          <c:cat>
            <c:strRef>
              <c:f>'[图表数据.xlsx]Sheet3 (2)'!$A$1</c:f>
              <c:strCache>
                <c:ptCount val="1"/>
                <c:pt idx="0">
                  <c:v>一般公共预算财政拨款收入</c:v>
                </c:pt>
              </c:strCache>
            </c:strRef>
          </c:cat>
          <c:val>
            <c:numRef>
              <c:f>'[图表数据.xlsx]Sheet3 (2)'!$B$1</c:f>
              <c:numCache>
                <c:formatCode>General</c:formatCode>
                <c:ptCount val="1"/>
                <c:pt idx="0">
                  <c:v>85.85</c:v>
                </c:pt>
              </c:numCache>
            </c:numRef>
          </c:val>
        </c:ser>
        <c:dLbls>
          <c:showLegendKey val="0"/>
          <c:showVal val="0"/>
          <c:showCatName val="0"/>
          <c:showSerName val="0"/>
          <c:showPercent val="1"/>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t>支出决算情况</a:t>
            </a:r>
            <a:r>
              <a:rPr lang="zh-CN" sz="1500" b="0">
                <a:latin typeface="仿宋_GB2312" panose="02010609030101010101" charset="-122"/>
                <a:ea typeface="仿宋_GB2312" panose="02010609030101010101" charset="-122"/>
              </a:rPr>
              <a:t>（单位：万元）</a:t>
            </a:r>
            <a:endParaRPr lang="zh-CN" sz="1500" b="0">
              <a:latin typeface="仿宋_GB2312" panose="02010609030101010101" charset="-122"/>
              <a:ea typeface="仿宋_GB2312" panose="02010609030101010101" charset="-122"/>
            </a:endParaRPr>
          </a:p>
        </c:rich>
      </c:tx>
      <c:layout/>
      <c:overlay val="0"/>
      <c:spPr>
        <a:noFill/>
        <a:ln>
          <a:noFill/>
        </a:ln>
        <a:effectLst/>
      </c:spPr>
    </c:title>
    <c:autoTitleDeleted val="0"/>
    <c:plotArea>
      <c:layout/>
      <c:pieChart>
        <c:varyColors val="1"/>
        <c:ser>
          <c:idx val="1"/>
          <c:order val="1"/>
          <c:spPr/>
          <c:explosion val="0"/>
          <c:dPt>
            <c:idx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[图表数据.xlsx]Sheet3!$A$1</c:f>
              <c:strCache>
                <c:ptCount val="1"/>
                <c:pt idx="0">
                  <c:v>基本支出</c:v>
                </c:pt>
              </c:strCache>
            </c:strRef>
          </c:cat>
          <c:val>
            <c:numRef>
              <c:f>[图表数据.xlsx]Sheet3!$B$1</c:f>
              <c:numCache>
                <c:formatCode>General</c:formatCode>
                <c:ptCount val="1"/>
                <c:pt idx="0">
                  <c:v>85.85</c:v>
                </c:pt>
              </c:numCache>
            </c:numRef>
          </c:val>
        </c:ser>
        <c:ser>
          <c:idx val="0"/>
          <c:order val="0"/>
          <c:spPr/>
          <c:explosion val="0"/>
          <c:dPt>
            <c:idx val="0"/>
            <c:bubble3D val="0"/>
            <c:spPr>
              <a:solidFill>
                <a:schemeClr val="accent1"/>
              </a:solidFill>
              <a:ln>
                <a:no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6350" cap="flat" cmpd="sng" algn="ctr">
                      <a:solidFill>
                        <a:schemeClr val="tx1"/>
                      </a:solidFill>
                      <a:prstDash val="solid"/>
                      <a:round/>
                    </a:ln>
                    <a:effectLst/>
                  </c:spPr>
                </c15:leaderLines>
              </c:ext>
            </c:extLst>
          </c:dLbls>
          <c:cat>
            <c:strRef>
              <c:f>[图表数据.xlsx]Sheet3!$A$1</c:f>
              <c:strCache>
                <c:ptCount val="1"/>
                <c:pt idx="0">
                  <c:v>基本支出</c:v>
                </c:pt>
              </c:strCache>
            </c:strRef>
          </c:cat>
          <c:val>
            <c:numRef>
              <c:f>[图表数据.xlsx]Sheet3!$B$1</c:f>
              <c:numCache>
                <c:formatCode>General</c:formatCode>
                <c:ptCount val="1"/>
                <c:pt idx="0">
                  <c:v>85.85</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财政拨款收入支出对比情况</a:t>
            </a:r>
            <a:endParaRPr lang="zh-CN" altLang="en-US"/>
          </a:p>
          <a:p>
            <a:pPr>
              <a:defRPr lang="zh-CN" sz="1800" b="1" i="0" u="none" strike="noStrike" kern="1200" baseline="0">
                <a:solidFill>
                  <a:schemeClr val="tx1"/>
                </a:solidFill>
                <a:latin typeface="+mn-lt"/>
                <a:ea typeface="+mn-ea"/>
                <a:cs typeface="+mn-cs"/>
              </a:defRPr>
            </a:pPr>
            <a:r>
              <a:rPr lang="zh-CN" altLang="en-US"/>
              <a:t> </a:t>
            </a:r>
            <a:r>
              <a:rPr lang="en-US" altLang="zh-CN"/>
              <a:t>                                              </a:t>
            </a:r>
            <a:r>
              <a:rPr lang="zh-CN" altLang="en-US" sz="1500" b="0">
                <a:latin typeface="仿宋_GB2312" panose="02010609030101010101" charset="-122"/>
                <a:ea typeface="仿宋_GB2312" panose="02010609030101010101" charset="-122"/>
              </a:rPr>
              <a:t>（单位：万元）</a:t>
            </a:r>
            <a:endParaRPr lang="zh-CN" altLang="en-US" sz="1500" b="0">
              <a:latin typeface="仿宋_GB2312" panose="02010609030101010101" charset="-122"/>
              <a:ea typeface="仿宋_GB2312" panose="02010609030101010101" charset="-122"/>
            </a:endParaRPr>
          </a:p>
        </c:rich>
      </c:tx>
      <c:layout/>
      <c:overlay val="0"/>
    </c:title>
    <c:autoTitleDeleted val="0"/>
    <c:plotArea>
      <c:layout/>
      <c:barChart>
        <c:barDir val="col"/>
        <c:grouping val="clustered"/>
        <c:varyColors val="0"/>
        <c:ser>
          <c:idx val="0"/>
          <c:order val="0"/>
          <c:tx>
            <c:strRef>
              <c:f>Sheet5!$B$1</c:f>
              <c:strCache>
                <c:ptCount val="1"/>
                <c:pt idx="0">
                  <c:v>财政拨款收入</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Sheet5!$A$2:$A$3</c:f>
              <c:strCache>
                <c:ptCount val="2"/>
                <c:pt idx="0">
                  <c:v>2019年</c:v>
                </c:pt>
                <c:pt idx="1">
                  <c:v>2020年</c:v>
                </c:pt>
              </c:strCache>
            </c:strRef>
          </c:cat>
          <c:val>
            <c:numRef>
              <c:f>Sheet5!$B$2:$B$3</c:f>
              <c:numCache>
                <c:formatCode>General</c:formatCode>
                <c:ptCount val="2"/>
                <c:pt idx="0">
                  <c:v>63.35</c:v>
                </c:pt>
                <c:pt idx="1">
                  <c:v>85.85</c:v>
                </c:pt>
              </c:numCache>
            </c:numRef>
          </c:val>
        </c:ser>
        <c:ser>
          <c:idx val="1"/>
          <c:order val="1"/>
          <c:tx>
            <c:strRef>
              <c:f>Sheet5!$C$1</c:f>
              <c:strCache>
                <c:ptCount val="1"/>
                <c:pt idx="0">
                  <c:v>财政拨款支出</c:v>
                </c:pt>
              </c:strCache>
            </c:strRef>
          </c:tx>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Sheet5!$A$2:$A$3</c:f>
              <c:strCache>
                <c:ptCount val="2"/>
                <c:pt idx="0">
                  <c:v>2019年</c:v>
                </c:pt>
                <c:pt idx="1">
                  <c:v>2020年</c:v>
                </c:pt>
              </c:strCache>
            </c:strRef>
          </c:cat>
          <c:val>
            <c:numRef>
              <c:f>Sheet5!$C$2:$C$3</c:f>
              <c:numCache>
                <c:formatCode>General</c:formatCode>
                <c:ptCount val="2"/>
                <c:pt idx="0">
                  <c:v>63.35</c:v>
                </c:pt>
                <c:pt idx="1">
                  <c:v>85.85</c:v>
                </c:pt>
              </c:numCache>
            </c:numRef>
          </c:val>
        </c:ser>
        <c:dLbls>
          <c:showLegendKey val="0"/>
          <c:showVal val="1"/>
          <c:showCatName val="0"/>
          <c:showSerName val="0"/>
          <c:showPercent val="0"/>
          <c:showBubbleSize val="0"/>
        </c:dLbls>
        <c:gapWidth val="150"/>
        <c:overlap val="-25"/>
        <c:axId val="202157056"/>
        <c:axId val="242292224"/>
      </c:barChart>
      <c:catAx>
        <c:axId val="202157056"/>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42292224"/>
        <c:crosses val="autoZero"/>
        <c:auto val="1"/>
        <c:lblAlgn val="ctr"/>
        <c:lblOffset val="100"/>
        <c:noMultiLvlLbl val="0"/>
      </c:catAx>
      <c:valAx>
        <c:axId val="242292224"/>
        <c:scaling>
          <c:orientation val="minMax"/>
        </c:scaling>
        <c:delete val="1"/>
        <c:axPos val="l"/>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157056"/>
        <c:crosses val="autoZero"/>
        <c:crossBetween val="between"/>
      </c:valAx>
    </c:plotArea>
    <c:legend>
      <c:legendPos val="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a:t>财政拨款支出变动情况</a:t>
            </a:r>
            <a:endParaRPr lang="zh-CN" altLang="en-US"/>
          </a:p>
          <a:p>
            <a:pPr>
              <a:defRPr lang="zh-CN" sz="1800" b="1" i="0" u="none" strike="noStrike" kern="1200" baseline="0">
                <a:solidFill>
                  <a:schemeClr val="tx1"/>
                </a:solidFill>
                <a:latin typeface="+mn-lt"/>
                <a:ea typeface="+mn-ea"/>
                <a:cs typeface="+mn-cs"/>
              </a:defRPr>
            </a:pPr>
            <a:r>
              <a:rPr lang="zh-CN" altLang="en-US"/>
              <a:t> </a:t>
            </a:r>
            <a:r>
              <a:rPr lang="en-US" altLang="zh-CN"/>
              <a:t>                                         </a:t>
            </a:r>
            <a:r>
              <a:rPr lang="zh-CN" altLang="en-US" sz="1500">
                <a:latin typeface="仿宋_GB2312" panose="02010609030101010101" charset="-122"/>
                <a:ea typeface="仿宋_GB2312" panose="02010609030101010101" charset="-122"/>
              </a:rPr>
              <a:t>（单位：万元）</a:t>
            </a:r>
            <a:endParaRPr lang="zh-CN" altLang="en-US" sz="1500">
              <a:latin typeface="仿宋_GB2312" panose="02010609030101010101" charset="-122"/>
              <a:ea typeface="仿宋_GB2312" panose="02010609030101010101" charset="-122"/>
            </a:endParaRPr>
          </a:p>
        </c:rich>
      </c:tx>
      <c:layout/>
      <c:overlay val="0"/>
    </c:title>
    <c:autoTitleDeleted val="0"/>
    <c:plotArea>
      <c:layout/>
      <c:barChart>
        <c:barDir val="col"/>
        <c:grouping val="clustered"/>
        <c:varyColors val="0"/>
        <c:ser>
          <c:idx val="0"/>
          <c:order val="0"/>
          <c:tx>
            <c:strRef>
              <c:f>Sheet4!$B$1</c:f>
              <c:strCache>
                <c:ptCount val="1"/>
                <c:pt idx="0">
                  <c:v>财政拨款支出</c:v>
                </c:pt>
              </c:strCache>
            </c:strRef>
          </c:tx>
          <c:invertIfNegative val="0"/>
          <c:dPt>
            <c:idx val="1"/>
            <c:invertIfNegative val="0"/>
            <c:bubble3D val="0"/>
            <c:spPr>
              <a:solidFill>
                <a:schemeClr val="accent2">
                  <a:lumMod val="60000"/>
                  <a:lumOff val="40000"/>
                </a:schemeClr>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Sheet4!$A$2:$A$3</c:f>
              <c:strCache>
                <c:ptCount val="2"/>
                <c:pt idx="0">
                  <c:v>2019年</c:v>
                </c:pt>
                <c:pt idx="1">
                  <c:v>2020年</c:v>
                </c:pt>
              </c:strCache>
            </c:strRef>
          </c:cat>
          <c:val>
            <c:numRef>
              <c:f>Sheet4!$B$2:$B$3</c:f>
              <c:numCache>
                <c:formatCode>General</c:formatCode>
                <c:ptCount val="2"/>
                <c:pt idx="0">
                  <c:v>63.35</c:v>
                </c:pt>
                <c:pt idx="1">
                  <c:v>85.85</c:v>
                </c:pt>
              </c:numCache>
            </c:numRef>
          </c:val>
        </c:ser>
        <c:dLbls>
          <c:showLegendKey val="0"/>
          <c:showVal val="0"/>
          <c:showCatName val="0"/>
          <c:showSerName val="0"/>
          <c:showPercent val="0"/>
          <c:showBubbleSize val="0"/>
        </c:dLbls>
        <c:gapWidth val="75"/>
        <c:overlap val="40"/>
        <c:axId val="196918272"/>
        <c:axId val="202068352"/>
      </c:barChart>
      <c:catAx>
        <c:axId val="196918272"/>
        <c:scaling>
          <c:orientation val="minMax"/>
        </c:scaling>
        <c:delete val="0"/>
        <c:axPos val="b"/>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202068352"/>
        <c:crosses val="autoZero"/>
        <c:auto val="1"/>
        <c:lblAlgn val="ctr"/>
        <c:lblOffset val="100"/>
        <c:noMultiLvlLbl val="0"/>
      </c:catAx>
      <c:valAx>
        <c:axId val="202068352"/>
        <c:scaling>
          <c:orientation val="minMax"/>
        </c:scaling>
        <c:delete val="0"/>
        <c:axPos val="l"/>
        <c:majorGridlines/>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96918272"/>
        <c:crosses val="autoZero"/>
        <c:crossBetween val="between"/>
      </c:valAx>
    </c:plotArea>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4">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mods="ignoreCSTransforms">
      <cs:styleClr val="0">
        <a:shade val="25000"/>
      </cs:styl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mods="ignoreCSTransforms">
      <cs:styleClr val="0">
        <a:tint val="25000"/>
      </cs:styl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HP Inc.</Company>
  <Pages>23</Pages>
  <Words>5129</Words>
  <Characters>3724</Characters>
  <Lines>31</Lines>
  <Paragraphs>17</Paragraphs>
  <TotalTime>1</TotalTime>
  <ScaleCrop>false</ScaleCrop>
  <LinksUpToDate>false</LinksUpToDate>
  <CharactersWithSpaces>8836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2020-07-23T09:23:00Z</dcterms:created>
  <dc:creator>Administrator</dc:creator>
  <cp:lastModifiedBy>lenovo</cp:lastModifiedBy>
  <cp:lastPrinted>2020-07-28T02:12:00Z</cp:lastPrinted>
  <dcterms:modified xsi:type="dcterms:W3CDTF">2021-09-02T02:52:26Z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9A12013AD27A4DB4B2B93ADD2B4AE959</vt:lpwstr>
  </property>
</Properties>
</file>