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p>
    <w:p>
      <w:pPr>
        <w:spacing w:line="440" w:lineRule="exact"/>
        <w:jc w:val="center"/>
        <w:rPr>
          <w:rFonts w:ascii="宋体" w:hAnsi="宋体" w:cs="宋体"/>
          <w:b/>
          <w:bCs/>
          <w:sz w:val="44"/>
          <w:szCs w:val="44"/>
        </w:rPr>
      </w:pPr>
    </w:p>
    <w:p>
      <w:pPr>
        <w:spacing w:line="560" w:lineRule="exact"/>
        <w:jc w:val="center"/>
        <w:rPr>
          <w:rFonts w:hint="eastAsia" w:ascii="方正小标宋简体" w:hAnsi="方正小标宋简体" w:eastAsia="方正小标宋简体" w:cs="方正小标宋简体"/>
          <w:b w:val="0"/>
          <w:bCs w:val="0"/>
          <w:sz w:val="48"/>
          <w:szCs w:val="48"/>
          <w:lang w:val="en-US" w:eastAsia="zh-CN"/>
        </w:rPr>
      </w:pPr>
      <w:r>
        <w:rPr>
          <w:rFonts w:hint="eastAsia" w:ascii="方正小标宋简体" w:hAnsi="方正小标宋简体" w:eastAsia="方正小标宋简体" w:cs="方正小标宋简体"/>
          <w:b w:val="0"/>
          <w:bCs w:val="0"/>
          <w:sz w:val="48"/>
          <w:szCs w:val="48"/>
        </w:rPr>
        <w:t>陕西省</w:t>
      </w:r>
      <w:r>
        <w:rPr>
          <w:rFonts w:hint="eastAsia" w:ascii="方正小标宋简体" w:hAnsi="方正小标宋简体" w:eastAsia="方正小标宋简体" w:cs="方正小标宋简体"/>
          <w:b w:val="0"/>
          <w:bCs w:val="0"/>
          <w:sz w:val="48"/>
          <w:szCs w:val="48"/>
          <w:lang w:val="en-US" w:eastAsia="zh-CN"/>
        </w:rPr>
        <w:t>交通运输工会</w:t>
      </w:r>
    </w:p>
    <w:p>
      <w:pPr>
        <w:spacing w:line="560" w:lineRule="exact"/>
        <w:jc w:val="center"/>
        <w:rPr>
          <w:rFonts w:hint="eastAsia" w:ascii="方正小标宋简体" w:hAnsi="方正小标宋简体" w:eastAsia="方正小标宋简体" w:cs="方正小标宋简体"/>
          <w:b w:val="0"/>
          <w:bCs w:val="0"/>
          <w:sz w:val="48"/>
          <w:szCs w:val="48"/>
          <w:lang w:val="en-US" w:eastAsia="zh-CN"/>
        </w:rPr>
      </w:pPr>
      <w:r>
        <w:rPr>
          <w:rFonts w:hint="eastAsia" w:ascii="方正小标宋简体" w:hAnsi="方正小标宋简体" w:eastAsia="方正小标宋简体" w:cs="方正小标宋简体"/>
          <w:b w:val="0"/>
          <w:bCs w:val="0"/>
          <w:sz w:val="48"/>
          <w:szCs w:val="48"/>
        </w:rPr>
        <w:t>20</w:t>
      </w:r>
      <w:r>
        <w:rPr>
          <w:rFonts w:hint="eastAsia" w:ascii="方正小标宋简体" w:hAnsi="方正小标宋简体" w:eastAsia="方正小标宋简体" w:cs="方正小标宋简体"/>
          <w:b w:val="0"/>
          <w:bCs w:val="0"/>
          <w:sz w:val="48"/>
          <w:szCs w:val="48"/>
          <w:lang w:val="en-US" w:eastAsia="zh-CN"/>
        </w:rPr>
        <w:t>20</w:t>
      </w:r>
      <w:r>
        <w:rPr>
          <w:rFonts w:hint="eastAsia" w:ascii="方正小标宋简体" w:hAnsi="方正小标宋简体" w:eastAsia="方正小标宋简体" w:cs="方正小标宋简体"/>
          <w:b w:val="0"/>
          <w:bCs w:val="0"/>
          <w:sz w:val="48"/>
          <w:szCs w:val="48"/>
        </w:rPr>
        <w:t>年部门决算</w:t>
      </w: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hint="eastAsia"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570" w:firstLineChars="800"/>
        <w:rPr>
          <w:rFonts w:hint="eastAsia" w:asciiTheme="majorEastAsia" w:hAnsiTheme="majorEastAsia" w:eastAsiaTheme="majorEastAsia" w:cstheme="majorEastAsia"/>
          <w:b/>
          <w:bCs/>
          <w:sz w:val="32"/>
          <w:szCs w:val="32"/>
        </w:rPr>
      </w:pPr>
    </w:p>
    <w:p>
      <w:pPr>
        <w:spacing w:line="400" w:lineRule="exact"/>
        <w:ind w:firstLine="2088" w:firstLineChars="650"/>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rPr>
        <w:t>保密审查情况：</w:t>
      </w:r>
      <w:r>
        <w:rPr>
          <w:rFonts w:hint="eastAsia" w:asciiTheme="majorEastAsia" w:hAnsiTheme="majorEastAsia" w:eastAsiaTheme="majorEastAsia" w:cstheme="majorEastAsia"/>
          <w:b/>
          <w:bCs/>
          <w:sz w:val="32"/>
          <w:szCs w:val="32"/>
          <w:lang w:val="en-US" w:eastAsia="zh-CN"/>
        </w:rPr>
        <w:t>已审查</w:t>
      </w:r>
    </w:p>
    <w:p>
      <w:pPr>
        <w:spacing w:line="400" w:lineRule="exact"/>
        <w:jc w:val="center"/>
        <w:rPr>
          <w:rFonts w:ascii="宋体" w:hAnsi="宋体" w:cs="宋体"/>
          <w:b/>
          <w:bCs/>
          <w:sz w:val="32"/>
          <w:szCs w:val="32"/>
        </w:rPr>
      </w:pPr>
    </w:p>
    <w:p>
      <w:pPr>
        <w:spacing w:line="400" w:lineRule="exact"/>
        <w:ind w:firstLine="2088" w:firstLineChars="650"/>
        <w:rPr>
          <w:rFonts w:ascii="宋体" w:hAnsi="宋体" w:cs="宋体"/>
          <w:b/>
          <w:bCs/>
          <w:sz w:val="32"/>
          <w:szCs w:val="32"/>
        </w:rPr>
      </w:pPr>
      <w:r>
        <w:rPr>
          <w:rFonts w:hint="eastAsia" w:ascii="宋体" w:hAnsi="宋体" w:cs="宋体"/>
          <w:b/>
          <w:bCs/>
          <w:sz w:val="32"/>
          <w:szCs w:val="32"/>
        </w:rPr>
        <w:t>部门主要负责人审签情况：</w:t>
      </w:r>
      <w:r>
        <w:rPr>
          <w:rFonts w:hint="eastAsia" w:ascii="宋体" w:hAnsi="宋体" w:cs="宋体"/>
          <w:b/>
          <w:bCs/>
          <w:sz w:val="32"/>
          <w:szCs w:val="32"/>
          <w:lang w:val="en-US" w:eastAsia="zh-CN"/>
        </w:rPr>
        <w:t>已签审</w:t>
      </w:r>
      <w:r>
        <w:rPr>
          <w:rFonts w:ascii="宋体" w:hAnsi="宋体" w:cs="宋体"/>
          <w:b/>
          <w:bCs/>
          <w:sz w:val="32"/>
          <w:szCs w:val="32"/>
        </w:rPr>
        <w:t xml:space="preserve">              </w:t>
      </w:r>
    </w:p>
    <w:p>
      <w:pPr>
        <w:spacing w:line="400" w:lineRule="exact"/>
        <w:rPr>
          <w:rFonts w:hint="eastAsia"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jc w:val="center"/>
        <w:rPr>
          <w:rFonts w:ascii="黑体" w:hAnsi="宋体" w:eastAsia="黑体"/>
          <w:bCs/>
          <w:color w:val="000000"/>
          <w:kern w:val="0"/>
          <w:sz w:val="36"/>
          <w:szCs w:val="36"/>
          <w:lang w:bidi="ar"/>
        </w:rPr>
        <w:sectPr>
          <w:footerReference r:id="rId3" w:type="default"/>
          <w:pgSz w:w="11906" w:h="16838"/>
          <w:pgMar w:top="1440" w:right="1080" w:bottom="1440" w:left="1080" w:header="851" w:footer="992" w:gutter="0"/>
          <w:cols w:space="0" w:num="1"/>
          <w:docGrid w:type="lines" w:linePitch="315" w:charSpace="0"/>
        </w:sectPr>
      </w:pPr>
    </w:p>
    <w:p>
      <w:pPr>
        <w:jc w:val="center"/>
        <w:rPr>
          <w:rFonts w:ascii="黑体" w:hAnsi="宋体" w:eastAsia="黑体"/>
          <w:bCs/>
          <w:color w:val="000000"/>
          <w:kern w:val="0"/>
          <w:sz w:val="36"/>
          <w:szCs w:val="36"/>
          <w:lang w:bidi="ar"/>
        </w:rPr>
      </w:pPr>
      <w:r>
        <w:rPr>
          <w:rFonts w:ascii="黑体" w:hAnsi="宋体" w:eastAsia="黑体"/>
          <w:bCs/>
          <w:color w:val="000000"/>
          <w:kern w:val="0"/>
          <w:sz w:val="36"/>
          <w:szCs w:val="36"/>
          <w:lang w:bidi="ar"/>
        </w:rPr>
        <w:t>目</w:t>
      </w:r>
      <w:r>
        <w:rPr>
          <w:rFonts w:hint="eastAsia" w:ascii="黑体" w:hAnsi="宋体" w:eastAsia="黑体"/>
          <w:bCs/>
          <w:color w:val="000000"/>
          <w:kern w:val="0"/>
          <w:sz w:val="36"/>
          <w:szCs w:val="36"/>
          <w:lang w:bidi="ar"/>
        </w:rPr>
        <w:t xml:space="preserve">  </w:t>
      </w:r>
      <w:r>
        <w:rPr>
          <w:rFonts w:ascii="黑体" w:hAnsi="宋体" w:eastAsia="黑体"/>
          <w:bCs/>
          <w:color w:val="000000"/>
          <w:kern w:val="0"/>
          <w:sz w:val="36"/>
          <w:szCs w:val="36"/>
          <w:lang w:bidi="ar"/>
        </w:rPr>
        <w:t>录</w:t>
      </w:r>
    </w:p>
    <w:p>
      <w:pPr>
        <w:widowControl/>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sz w:val="32"/>
          <w:szCs w:val="32"/>
          <w:lang w:bidi="ar"/>
        </w:rPr>
        <w:t>第一部分  部门概况</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一、部门主要职责及内设机构</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二、部门决算单位构成</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三、部门人员情况</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 xml:space="preserve">第二部分  </w:t>
      </w:r>
      <w:r>
        <w:rPr>
          <w:rFonts w:hint="eastAsia" w:ascii="方正小标宋简体" w:hAnsi="方正小标宋简体" w:eastAsia="方正小标宋简体" w:cs="方正小标宋简体"/>
          <w:color w:val="000000"/>
          <w:kern w:val="0"/>
          <w:sz w:val="32"/>
          <w:szCs w:val="32"/>
          <w:lang w:eastAsia="zh-CN" w:bidi="ar"/>
        </w:rPr>
        <w:t>2020</w:t>
      </w:r>
      <w:r>
        <w:rPr>
          <w:rFonts w:hint="eastAsia" w:ascii="方正小标宋简体" w:hAnsi="方正小标宋简体" w:eastAsia="方正小标宋简体" w:cs="方正小标宋简体"/>
          <w:color w:val="000000"/>
          <w:kern w:val="0"/>
          <w:sz w:val="32"/>
          <w:szCs w:val="32"/>
          <w:lang w:bidi="ar"/>
        </w:rPr>
        <w:t>年部门决算表</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二、收入决算表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四、财政拨款收入支出决算总表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五、一般公共预算财政拨款支出决算表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六、一般公共预算财政拨款基本支出决算表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七、一般公共预算财政拨款“三公”经费及会议费、培训费支出决算表    </w:t>
      </w:r>
    </w:p>
    <w:p>
      <w:pPr>
        <w:widowControl/>
        <w:jc w:val="left"/>
        <w:rPr>
          <w:rFonts w:hint="eastAsia"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八、政府性基金预算财政拨款收入支出决算表</w:t>
      </w:r>
    </w:p>
    <w:p>
      <w:pPr>
        <w:widowControl/>
        <w:jc w:val="left"/>
        <w:rPr>
          <w:rFonts w:hint="eastAsia" w:ascii="仿宋" w:hAnsi="仿宋" w:eastAsia="仿宋" w:cs="楷体"/>
          <w:color w:val="000000"/>
          <w:kern w:val="0"/>
          <w:sz w:val="32"/>
          <w:szCs w:val="32"/>
          <w:lang w:eastAsia="zh-CN" w:bidi="ar"/>
        </w:rPr>
      </w:pPr>
      <w:r>
        <w:rPr>
          <w:rFonts w:hint="eastAsia" w:ascii="仿宋" w:hAnsi="仿宋" w:eastAsia="仿宋" w:cs="楷体"/>
          <w:color w:val="000000"/>
          <w:kern w:val="0"/>
          <w:sz w:val="32"/>
          <w:szCs w:val="32"/>
          <w:lang w:eastAsia="zh-CN" w:bidi="ar"/>
        </w:rPr>
        <w:t>九、国有资本经营预算财政拨款支出决算表</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 xml:space="preserve">第三部分  </w:t>
      </w:r>
      <w:r>
        <w:rPr>
          <w:rFonts w:hint="eastAsia" w:ascii="方正小标宋简体" w:hAnsi="方正小标宋简体" w:eastAsia="方正小标宋简体" w:cs="方正小标宋简体"/>
          <w:color w:val="000000"/>
          <w:kern w:val="0"/>
          <w:sz w:val="32"/>
          <w:szCs w:val="32"/>
          <w:lang w:eastAsia="zh-CN" w:bidi="ar"/>
        </w:rPr>
        <w:t>2020</w:t>
      </w:r>
      <w:r>
        <w:rPr>
          <w:rFonts w:hint="eastAsia" w:ascii="方正小标宋简体" w:hAnsi="方正小标宋简体" w:eastAsia="方正小标宋简体" w:cs="方正小标宋简体"/>
          <w:color w:val="000000"/>
          <w:kern w:val="0"/>
          <w:sz w:val="32"/>
          <w:szCs w:val="32"/>
          <w:lang w:bidi="ar"/>
        </w:rPr>
        <w:t>年部门决算情况说明</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一、收入支出决算总体情况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二、收入决算情况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楷体" w:hAnsi="楷体" w:eastAsia="楷体" w:cs="楷体"/>
        </w:rPr>
      </w:pPr>
      <w:r>
        <w:rPr>
          <w:rFonts w:hint="eastAsia" w:ascii="仿宋" w:hAnsi="仿宋" w:eastAsia="仿宋" w:cs="楷体"/>
          <w:color w:val="000000"/>
          <w:kern w:val="0"/>
          <w:sz w:val="32"/>
          <w:szCs w:val="32"/>
          <w:lang w:bidi="ar"/>
        </w:rPr>
        <w:t>四、财政拨款收入支出决算总体情况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r>
        <w:rPr>
          <w:rFonts w:hint="eastAsia" w:ascii="楷体" w:hAnsi="楷体" w:eastAsia="楷体"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五、一般公共预算财政拨款支出决算情况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六、一般公共预算财政拨款基本支出决算情况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七、一般公共预算财政拨款“三公”经费及会议费、培训费支出决算情况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九、国有资本经营财政拨款收</w:t>
      </w:r>
      <w:r>
        <w:rPr>
          <w:rFonts w:hint="eastAsia" w:ascii="仿宋" w:hAnsi="仿宋" w:eastAsia="仿宋" w:cs="楷体"/>
          <w:color w:val="000000"/>
          <w:kern w:val="0"/>
          <w:sz w:val="32"/>
          <w:szCs w:val="32"/>
          <w:lang w:eastAsia="zh-CN" w:bidi="ar"/>
        </w:rPr>
        <w:t>入</w:t>
      </w:r>
      <w:r>
        <w:rPr>
          <w:rFonts w:hint="eastAsia" w:ascii="仿宋" w:hAnsi="仿宋" w:eastAsia="仿宋" w:cs="楷体"/>
          <w:color w:val="000000"/>
          <w:kern w:val="0"/>
          <w:sz w:val="32"/>
          <w:szCs w:val="32"/>
          <w:lang w:bidi="ar"/>
        </w:rPr>
        <w:t>支</w:t>
      </w:r>
      <w:r>
        <w:rPr>
          <w:rFonts w:hint="eastAsia" w:ascii="仿宋" w:hAnsi="仿宋" w:eastAsia="仿宋" w:cs="楷体"/>
          <w:color w:val="000000"/>
          <w:kern w:val="0"/>
          <w:sz w:val="32"/>
          <w:szCs w:val="32"/>
          <w:lang w:eastAsia="zh-CN" w:bidi="ar"/>
        </w:rPr>
        <w:t>出</w:t>
      </w:r>
      <w:r>
        <w:rPr>
          <w:rFonts w:hint="eastAsia" w:ascii="仿宋" w:hAnsi="仿宋" w:eastAsia="仿宋" w:cs="楷体"/>
          <w:color w:val="000000"/>
          <w:kern w:val="0"/>
          <w:sz w:val="32"/>
          <w:szCs w:val="32"/>
          <w:lang w:bidi="ar"/>
        </w:rPr>
        <w:t>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十、机关运行经费支出情况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十一、</w:t>
      </w:r>
      <w:r>
        <w:rPr>
          <w:rFonts w:hint="eastAsia" w:ascii="仿宋" w:hAnsi="仿宋" w:eastAsia="仿宋" w:cs="楷体"/>
          <w:color w:val="000000"/>
          <w:kern w:val="0"/>
          <w:sz w:val="32"/>
          <w:szCs w:val="32"/>
          <w:lang w:bidi="ar"/>
        </w:rPr>
        <w:t>政府采购支出情况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hint="eastAsia"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十二、</w:t>
      </w:r>
      <w:r>
        <w:rPr>
          <w:rFonts w:hint="eastAsia" w:ascii="仿宋" w:hAnsi="仿宋" w:eastAsia="仿宋" w:cs="楷体"/>
          <w:color w:val="000000"/>
          <w:kern w:val="0"/>
          <w:sz w:val="32"/>
          <w:szCs w:val="32"/>
          <w:lang w:bidi="ar"/>
        </w:rPr>
        <w:t>国有资产占用及购置情况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eastAsia="zh-CN" w:bidi="ar"/>
        </w:rPr>
        <w:t>十三、</w:t>
      </w:r>
      <w:r>
        <w:rPr>
          <w:rFonts w:hint="eastAsia" w:ascii="仿宋" w:hAnsi="仿宋" w:eastAsia="仿宋" w:cs="楷体"/>
          <w:color w:val="000000"/>
          <w:kern w:val="0"/>
          <w:sz w:val="32"/>
          <w:szCs w:val="32"/>
          <w:lang w:bidi="ar"/>
        </w:rPr>
        <w:t>预算绩效情况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第四部分 专业名词解释</w:t>
      </w: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pStyle w:val="2"/>
        <w:rPr>
          <w:rFonts w:hint="eastAsia" w:ascii="黑体" w:hAnsi="宋体" w:eastAsia="黑体"/>
          <w:color w:val="000000"/>
          <w:kern w:val="0"/>
          <w:sz w:val="44"/>
          <w:szCs w:val="44"/>
          <w:lang w:bidi="ar"/>
        </w:rPr>
      </w:pPr>
    </w:p>
    <w:p>
      <w:pPr>
        <w:pStyle w:val="2"/>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第一部分 部门概况</w:t>
      </w:r>
    </w:p>
    <w:p>
      <w:pPr>
        <w:widowControl/>
        <w:ind w:firstLine="640" w:firstLineChars="200"/>
        <w:jc w:val="left"/>
        <w:rPr>
          <w:rFonts w:ascii="黑体" w:hAnsi="宋体" w:eastAsia="黑体"/>
          <w:color w:val="000000"/>
          <w:kern w:val="0"/>
          <w:sz w:val="32"/>
          <w:szCs w:val="32"/>
          <w:lang w:bidi="ar"/>
        </w:rPr>
      </w:pPr>
      <w:r>
        <w:rPr>
          <w:rFonts w:hint="eastAsia" w:ascii="黑体" w:hAnsi="宋体" w:eastAsia="黑体"/>
          <w:color w:val="000000"/>
          <w:kern w:val="0"/>
          <w:sz w:val="32"/>
          <w:szCs w:val="32"/>
          <w:lang w:bidi="ar"/>
        </w:rPr>
        <w:t>一、部门主要职责及内设机构</w:t>
      </w:r>
    </w:p>
    <w:p>
      <w:pPr>
        <w:widowControl/>
        <w:ind w:firstLine="643" w:firstLineChars="200"/>
        <w:jc w:val="left"/>
        <w:rPr>
          <w:rFonts w:hint="eastAsia" w:ascii="楷体" w:hAnsi="楷体" w:eastAsia="楷体" w:cs="楷体"/>
          <w:b/>
          <w:bCs/>
          <w:color w:val="000000"/>
          <w:kern w:val="0"/>
          <w:sz w:val="32"/>
          <w:szCs w:val="32"/>
          <w:lang w:eastAsia="zh-CN" w:bidi="ar"/>
        </w:rPr>
      </w:pPr>
      <w:r>
        <w:rPr>
          <w:rFonts w:hint="eastAsia" w:ascii="楷体" w:hAnsi="楷体" w:eastAsia="楷体" w:cs="楷体"/>
          <w:b/>
          <w:bCs/>
          <w:color w:val="000000"/>
          <w:kern w:val="0"/>
          <w:sz w:val="32"/>
          <w:szCs w:val="32"/>
          <w:lang w:bidi="ar"/>
        </w:rPr>
        <w:t>（一）主要职责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陕西省交通运输工会是陕西省总工会领导下的省级产业工会。其主要职责是：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（1）在省总工会领导下，指导本产业所属基层工会依照工会章程独立自主开展具有产业特色的工会工作。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（2）组织动员本产业职工开展劳动和技能竞赛、技术创新和评先树模、宣传教育活动，建设有理想守信念、懂技术会创新、敢担当讲奉献的产业工人队伍。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（3）围绕涉及产业职工切身利益的重大问题开展调查研究，参与相关法律法规和行业政策制定，建立与政府有关部门或行业协会的联席（联系）会议制度，推动构建和谐劳动关系，维护产业职工队伍稳定。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（4）指导企事业单位建立健全以职代会为基本形式的厂务公开民主管理制度和平等协商集体合同制度，做好职业安全卫生监督检查、职工帮扶救助等工作，维护产业职工合法权益。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仿宋_GB2312" w:hAnsi="仿宋_GB2312" w:eastAsia="仿宋_GB2312" w:cs="仿宋_GB2312"/>
          <w:b w:val="0"/>
          <w:bCs w:val="0"/>
          <w:sz w:val="32"/>
          <w:szCs w:val="32"/>
          <w:lang w:val="en-US" w:eastAsia="zh-CN"/>
        </w:rPr>
        <w:t>（5）加强自身建设，建立健全本产业工会工作制度，做好工会干部培训等基础工作，完成全国产业工会和省总工会交办的其他工作任务。</w:t>
      </w:r>
    </w:p>
    <w:p>
      <w:pPr>
        <w:widowControl/>
        <w:ind w:firstLine="643" w:firstLineChars="200"/>
        <w:jc w:val="left"/>
        <w:rPr>
          <w:rFonts w:hint="eastAsia" w:ascii="楷体" w:hAnsi="楷体" w:eastAsia="楷体" w:cs="楷体"/>
          <w:b/>
          <w:bCs/>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（二）内设机构。</w:t>
      </w:r>
    </w:p>
    <w:p>
      <w:pPr>
        <w:keepNext w:val="0"/>
        <w:keepLines w:val="0"/>
        <w:pageBreakBefore w:val="0"/>
        <w:widowControl w:val="0"/>
        <w:kinsoku/>
        <w:wordWrap/>
        <w:overflowPunct/>
        <w:topLinePunct w:val="0"/>
        <w:autoSpaceDE/>
        <w:autoSpaceDN/>
        <w:bidi w:val="0"/>
        <w:adjustRightInd/>
        <w:snapToGrid/>
        <w:spacing w:line="560" w:lineRule="exact"/>
        <w:ind w:firstLine="641"/>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无</w:t>
      </w:r>
    </w:p>
    <w:p>
      <w:pPr>
        <w:pStyle w:val="2"/>
        <w:rPr>
          <w:rFonts w:hint="eastAsia"/>
          <w:lang w:val="en-US" w:eastAsia="zh-CN"/>
        </w:rPr>
      </w:pPr>
    </w:p>
    <w:p>
      <w:pPr>
        <w:widowControl/>
        <w:numPr>
          <w:ilvl w:val="0"/>
          <w:numId w:val="1"/>
        </w:numPr>
        <w:ind w:firstLine="640" w:firstLineChars="200"/>
        <w:jc w:val="left"/>
        <w:rPr>
          <w:rFonts w:hint="eastAsia" w:ascii="黑体" w:hAnsi="宋体" w:eastAsia="黑体"/>
          <w:color w:val="000000"/>
          <w:kern w:val="0"/>
          <w:sz w:val="32"/>
          <w:szCs w:val="32"/>
          <w:lang w:bidi="ar"/>
        </w:rPr>
      </w:pPr>
      <w:r>
        <w:rPr>
          <w:rFonts w:hint="eastAsia" w:ascii="黑体" w:hAnsi="宋体" w:eastAsia="黑体"/>
          <w:color w:val="000000"/>
          <w:kern w:val="0"/>
          <w:sz w:val="32"/>
          <w:szCs w:val="32"/>
          <w:lang w:bidi="ar"/>
        </w:rPr>
        <w:t>部门决算单位构成</w:t>
      </w:r>
    </w:p>
    <w:p>
      <w:pPr>
        <w:ind w:firstLine="640"/>
        <w:rPr>
          <w:rFonts w:hint="eastAsia"/>
          <w:lang w:val="en-US" w:eastAsia="zh-CN"/>
        </w:rPr>
      </w:pP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年本部门决算编制范围的单位共</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val="en-US" w:eastAsia="zh-CN"/>
        </w:rPr>
        <w:t>仅</w:t>
      </w:r>
      <w:r>
        <w:rPr>
          <w:rFonts w:hint="eastAsia" w:ascii="仿宋_GB2312" w:hAnsi="仿宋_GB2312" w:eastAsia="仿宋_GB2312" w:cs="仿宋_GB2312"/>
          <w:sz w:val="32"/>
          <w:szCs w:val="32"/>
        </w:rPr>
        <w:t>包括本级单位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单位名称：陕西省交通运输工会</w:t>
      </w:r>
    </w:p>
    <w:p>
      <w:pPr>
        <w:ind w:firstLine="640"/>
        <w:rPr>
          <w:rFonts w:ascii="黑体" w:hAnsi="黑体" w:eastAsia="黑体"/>
          <w:b/>
          <w:bCs/>
          <w:sz w:val="32"/>
          <w:szCs w:val="32"/>
        </w:rPr>
      </w:pPr>
      <w:r>
        <w:rPr>
          <w:rFonts w:hint="eastAsia" w:ascii="黑体" w:hAnsi="黑体" w:eastAsia="黑体"/>
          <w:b/>
          <w:bCs/>
          <w:sz w:val="32"/>
          <w:szCs w:val="32"/>
        </w:rPr>
        <w:t>三、部门人员情况</w:t>
      </w:r>
    </w:p>
    <w:p>
      <w:pPr>
        <w:keepNext w:val="0"/>
        <w:keepLines w:val="0"/>
        <w:pageBreakBefore w:val="0"/>
        <w:widowControl w:val="0"/>
        <w:kinsoku/>
        <w:wordWrap/>
        <w:overflowPunct/>
        <w:topLinePunct w:val="0"/>
        <w:autoSpaceDE/>
        <w:autoSpaceDN/>
        <w:bidi w:val="0"/>
        <w:adjustRightInd/>
        <w:snapToGrid/>
        <w:spacing w:line="560" w:lineRule="exact"/>
        <w:ind w:firstLine="641"/>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截止20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年底，本部门人员编制</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人，其中行政编制</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 xml:space="preserve">第二部分 </w:t>
      </w:r>
      <w:r>
        <w:rPr>
          <w:rFonts w:hint="eastAsia" w:ascii="方正小标宋简体" w:hAnsi="方正小标宋简体" w:eastAsia="方正小标宋简体" w:cs="方正小标宋简体"/>
          <w:color w:val="000000"/>
          <w:kern w:val="0"/>
          <w:sz w:val="44"/>
          <w:szCs w:val="44"/>
          <w:lang w:eastAsia="zh-CN" w:bidi="ar"/>
        </w:rPr>
        <w:t>2020</w:t>
      </w:r>
      <w:r>
        <w:rPr>
          <w:rFonts w:hint="eastAsia" w:ascii="方正小标宋简体" w:hAnsi="方正小标宋简体" w:eastAsia="方正小标宋简体" w:cs="方正小标宋简体"/>
          <w:color w:val="000000"/>
          <w:kern w:val="0"/>
          <w:sz w:val="44"/>
          <w:szCs w:val="44"/>
          <w:lang w:bidi="ar"/>
        </w:rPr>
        <w:t>年度部门决算表</w:t>
      </w:r>
    </w:p>
    <w:tbl>
      <w:tblPr>
        <w:tblStyle w:val="10"/>
        <w:tblpPr w:leftFromText="180" w:rightFromText="180" w:vertAnchor="text" w:horzAnchor="page" w:tblpX="1472" w:tblpY="1123"/>
        <w:tblOverlap w:val="never"/>
        <w:tblW w:w="9000" w:type="dxa"/>
        <w:tblInd w:w="0" w:type="dxa"/>
        <w:tblLayout w:type="fixed"/>
        <w:tblCellMar>
          <w:top w:w="0" w:type="dxa"/>
          <w:left w:w="0" w:type="dxa"/>
          <w:bottom w:w="0" w:type="dxa"/>
          <w:right w:w="0" w:type="dxa"/>
        </w:tblCellMar>
      </w:tblPr>
      <w:tblGrid>
        <w:gridCol w:w="735"/>
        <w:gridCol w:w="4110"/>
        <w:gridCol w:w="1047"/>
        <w:gridCol w:w="3108"/>
      </w:tblGrid>
      <w:tr>
        <w:tblPrEx>
          <w:tblCellMar>
            <w:top w:w="0" w:type="dxa"/>
            <w:left w:w="0" w:type="dxa"/>
            <w:bottom w:w="0" w:type="dxa"/>
            <w:right w:w="0" w:type="dxa"/>
          </w:tblCellMar>
        </w:tblPrEx>
        <w:trPr>
          <w:trHeight w:val="6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序号</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内容</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kern w:val="0"/>
                <w:sz w:val="24"/>
                <w:lang w:bidi="ar"/>
              </w:rPr>
            </w:pPr>
            <w:r>
              <w:rPr>
                <w:rFonts w:hint="eastAsia" w:ascii="黑体" w:hAnsi="宋体" w:eastAsia="黑体"/>
                <w:color w:val="000000"/>
                <w:kern w:val="0"/>
                <w:sz w:val="24"/>
                <w:lang w:bidi="ar"/>
              </w:rPr>
              <w:t>是否</w:t>
            </w:r>
          </w:p>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空表</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eastAsia="zh-CN" w:bidi="ar"/>
              </w:rPr>
              <w:t>表格为空的</w:t>
            </w:r>
            <w:r>
              <w:rPr>
                <w:rFonts w:hint="eastAsia" w:ascii="黑体" w:hAnsi="宋体" w:eastAsia="黑体"/>
                <w:color w:val="000000"/>
                <w:kern w:val="0"/>
                <w:sz w:val="24"/>
                <w:lang w:bidi="ar"/>
              </w:rPr>
              <w:t>理由</w:t>
            </w: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财政拨款收入支出决算总表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一般公共预算财政拨款支出决算表</w:t>
            </w:r>
          </w:p>
          <w:p>
            <w:pPr>
              <w:widowControl/>
              <w:jc w:val="left"/>
              <w:rPr>
                <w:rFonts w:ascii="宋体" w:hAnsi="宋体" w:cs="宋体"/>
                <w:color w:val="000000"/>
                <w:kern w:val="0"/>
                <w:sz w:val="24"/>
                <w:lang w:bidi="ar"/>
              </w:rPr>
            </w:pPr>
            <w:r>
              <w:rPr>
                <w:rFonts w:hint="eastAsia" w:ascii="宋体" w:hAnsi="宋体" w:cs="宋体"/>
                <w:color w:val="000000"/>
                <w:kern w:val="0"/>
                <w:sz w:val="24"/>
                <w:lang w:bidi="ar"/>
              </w:rPr>
              <w:t>（按功能分类科目）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一般公共预算财政拨款基本支出决算表 （按经济分类科目）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表7</w:t>
            </w:r>
          </w:p>
        </w:tc>
        <w:tc>
          <w:tcPr>
            <w:tcW w:w="4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一般公共预算财政拨款“三公”经费及会议费、培训费支出决算表</w:t>
            </w:r>
          </w:p>
        </w:tc>
        <w:tc>
          <w:tcPr>
            <w:tcW w:w="10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是</w:t>
            </w:r>
          </w:p>
        </w:tc>
        <w:tc>
          <w:tcPr>
            <w:tcW w:w="31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未涉及</w:t>
            </w: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cs="宋体"/>
                <w:color w:val="000000"/>
                <w:kern w:val="0"/>
                <w:sz w:val="24"/>
                <w:lang w:bidi="ar"/>
              </w:rPr>
            </w:pPr>
            <w:r>
              <w:rPr>
                <w:rFonts w:hint="eastAsia" w:ascii="宋体" w:hAnsi="宋体" w:cs="宋体"/>
                <w:color w:val="000000"/>
                <w:kern w:val="0"/>
                <w:sz w:val="24"/>
                <w:lang w:bidi="ar"/>
              </w:rPr>
              <w:t>政府性基金预算财政拨款收入支出</w:t>
            </w:r>
          </w:p>
          <w:p>
            <w:pPr>
              <w:widowControl/>
              <w:jc w:val="left"/>
              <w:rPr>
                <w:rFonts w:ascii="宋体" w:hAnsi="宋体" w:cs="宋体"/>
                <w:color w:val="000000"/>
                <w:sz w:val="24"/>
              </w:rPr>
            </w:pPr>
            <w:r>
              <w:rPr>
                <w:rFonts w:hint="eastAsia" w:ascii="宋体" w:hAnsi="宋体" w:cs="宋体"/>
                <w:color w:val="000000"/>
                <w:kern w:val="0"/>
                <w:sz w:val="24"/>
                <w:lang w:bidi="ar"/>
              </w:rPr>
              <w:t>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未涉及</w:t>
            </w: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eastAsia="zh-CN" w:bidi="ar"/>
              </w:rPr>
              <w:t>表</w:t>
            </w:r>
            <w:r>
              <w:rPr>
                <w:rFonts w:hint="eastAsia" w:ascii="宋体" w:hAnsi="宋体" w:cs="宋体"/>
                <w:color w:val="000000"/>
                <w:kern w:val="0"/>
                <w:sz w:val="24"/>
                <w:lang w:val="en-US" w:eastAsia="zh-CN" w:bidi="ar"/>
              </w:rPr>
              <w:t>9</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cs="宋体"/>
                <w:color w:val="000000"/>
                <w:kern w:val="0"/>
                <w:sz w:val="24"/>
                <w:lang w:bidi="ar"/>
              </w:rPr>
            </w:pPr>
            <w:r>
              <w:rPr>
                <w:rFonts w:hint="eastAsia" w:ascii="宋体" w:hAnsi="宋体" w:cs="宋体"/>
                <w:color w:val="000000"/>
                <w:kern w:val="0"/>
                <w:sz w:val="24"/>
                <w:lang w:eastAsia="zh-CN" w:bidi="ar"/>
              </w:rPr>
              <w:t>国有资本经营预算财政拨款支出决算表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未涉及</w:t>
            </w:r>
          </w:p>
        </w:tc>
      </w:tr>
    </w:tbl>
    <w:p>
      <w:pPr>
        <w:jc w:val="both"/>
        <w:rPr>
          <w:rFonts w:ascii="黑体" w:hAnsi="宋体" w:eastAsia="黑体"/>
          <w:color w:val="000000"/>
          <w:kern w:val="0"/>
          <w:sz w:val="44"/>
          <w:szCs w:val="44"/>
          <w:lang w:bidi="ar"/>
        </w:rPr>
      </w:pPr>
    </w:p>
    <w:p>
      <w:pPr>
        <w:widowControl/>
        <w:rPr>
          <w:rFonts w:ascii="黑体" w:hAnsi="宋体" w:eastAsia="黑体"/>
          <w:color w:val="000000"/>
          <w:kern w:val="0"/>
          <w:sz w:val="44"/>
          <w:szCs w:val="44"/>
          <w:lang w:bidi="ar"/>
        </w:rPr>
      </w:pPr>
    </w:p>
    <w:p>
      <w:pPr>
        <w:widowControl/>
        <w:jc w:val="center"/>
        <w:textAlignment w:val="center"/>
        <w:rPr>
          <w:rFonts w:ascii="宋体" w:hAnsi="宋体" w:cs="宋体"/>
          <w:b/>
          <w:bCs/>
          <w:sz w:val="32"/>
          <w:szCs w:val="32"/>
        </w:rPr>
      </w:pPr>
      <w:r>
        <w:rPr>
          <w:rFonts w:hint="eastAsia" w:ascii="宋体" w:hAnsi="宋体" w:cs="宋体"/>
          <w:b/>
          <w:color w:val="000000"/>
          <w:kern w:val="0"/>
          <w:sz w:val="40"/>
          <w:szCs w:val="40"/>
          <w:lang w:bidi="ar"/>
        </w:rPr>
        <w:br w:type="page"/>
      </w:r>
      <w:r>
        <w:rPr>
          <w:rFonts w:hint="eastAsia" w:ascii="宋体" w:hAnsi="宋体" w:cs="宋体"/>
          <w:b/>
          <w:bCs/>
          <w:sz w:val="32"/>
          <w:szCs w:val="32"/>
        </w:rPr>
        <w:t>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公开01表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val="en-US" w:eastAsia="zh-CN"/>
        </w:rPr>
        <w:t>陕西省交通运输工会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w:t>
      </w:r>
      <w:r>
        <w:rPr>
          <w:rFonts w:hint="eastAsia" w:ascii="宋体" w:hAnsi="宋体" w:cs="宋体"/>
          <w:b/>
          <w:bCs/>
          <w:szCs w:val="21"/>
          <w:lang w:val="en-US" w:eastAsia="zh-CN"/>
        </w:rPr>
        <w:t>万</w:t>
      </w:r>
      <w:r>
        <w:rPr>
          <w:rFonts w:hint="eastAsia" w:ascii="宋体" w:hAnsi="宋体" w:cs="宋体"/>
          <w:b/>
          <w:bCs/>
          <w:szCs w:val="21"/>
        </w:rPr>
        <w:t>元</w:t>
      </w:r>
    </w:p>
    <w:tbl>
      <w:tblPr>
        <w:tblStyle w:val="10"/>
        <w:tblW w:w="8884" w:type="dxa"/>
        <w:tblInd w:w="0" w:type="dxa"/>
        <w:tblLayout w:type="fixed"/>
        <w:tblCellMar>
          <w:top w:w="15" w:type="dxa"/>
          <w:left w:w="15" w:type="dxa"/>
          <w:bottom w:w="15" w:type="dxa"/>
          <w:right w:w="15" w:type="dxa"/>
        </w:tblCellMar>
      </w:tblPr>
      <w:tblGrid>
        <w:gridCol w:w="3388"/>
        <w:gridCol w:w="1080"/>
        <w:gridCol w:w="3090"/>
        <w:gridCol w:w="1326"/>
      </w:tblGrid>
      <w:tr>
        <w:tblPrEx>
          <w:tblCellMar>
            <w:top w:w="15" w:type="dxa"/>
            <w:left w:w="15" w:type="dxa"/>
            <w:bottom w:w="15" w:type="dxa"/>
            <w:right w:w="15" w:type="dxa"/>
          </w:tblCellMar>
        </w:tblPrEx>
        <w:trPr>
          <w:trHeight w:val="426" w:hRule="atLeast"/>
        </w:trPr>
        <w:tc>
          <w:tcPr>
            <w:tcW w:w="44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    入</w:t>
            </w:r>
          </w:p>
        </w:tc>
        <w:tc>
          <w:tcPr>
            <w:tcW w:w="4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    出</w:t>
            </w:r>
          </w:p>
        </w:tc>
      </w:tr>
      <w:tr>
        <w:tblPrEx>
          <w:tblCellMar>
            <w:top w:w="15" w:type="dxa"/>
            <w:left w:w="15" w:type="dxa"/>
            <w:bottom w:w="15" w:type="dxa"/>
            <w:right w:w="15" w:type="dxa"/>
          </w:tblCellMar>
        </w:tblPrEx>
        <w:trPr>
          <w:trHeight w:val="378"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210" w:firstLineChars="100"/>
              <w:jc w:val="left"/>
              <w:textAlignment w:val="center"/>
              <w:rPr>
                <w:rFonts w:hint="eastAsia" w:ascii="宋体" w:hAnsi="宋体" w:eastAsia="宋体" w:cs="宋体"/>
                <w:color w:val="000000"/>
                <w:kern w:val="2"/>
                <w:sz w:val="21"/>
                <w:szCs w:val="21"/>
                <w:lang w:val="en-US" w:eastAsia="zh-CN" w:bidi="ar-SA"/>
              </w:rPr>
            </w:pPr>
            <w:r>
              <w:rPr>
                <w:rFonts w:hint="eastAsia" w:ascii="宋体" w:hAnsi="宋体" w:cs="宋体"/>
                <w:color w:val="000000"/>
                <w:kern w:val="0"/>
                <w:szCs w:val="21"/>
                <w:lang w:val="en-US" w:eastAsia="zh-CN"/>
              </w:rPr>
              <w:t>1.一般公共预算财政拨款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lang w:val="en-US"/>
              </w:rPr>
            </w:pPr>
            <w:r>
              <w:rPr>
                <w:rFonts w:hint="eastAsia" w:ascii="宋体" w:hAnsi="宋体" w:cs="宋体"/>
                <w:i w:val="0"/>
                <w:color w:val="000000"/>
                <w:kern w:val="0"/>
                <w:sz w:val="21"/>
                <w:szCs w:val="21"/>
                <w:u w:val="none"/>
                <w:lang w:val="en-US" w:eastAsia="zh-CN" w:bidi="ar"/>
              </w:rPr>
              <w:t>94.63</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1.</w:t>
            </w:r>
            <w:r>
              <w:rPr>
                <w:rFonts w:hint="eastAsia" w:ascii="宋体" w:hAnsi="宋体" w:cs="宋体"/>
                <w:color w:val="000000"/>
                <w:kern w:val="0"/>
                <w:szCs w:val="21"/>
              </w:rPr>
              <w:t>一般公共服务支出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94.63</w:t>
            </w:r>
          </w:p>
        </w:tc>
      </w:tr>
      <w:tr>
        <w:tblPrEx>
          <w:tblCellMar>
            <w:top w:w="15" w:type="dxa"/>
            <w:left w:w="15" w:type="dxa"/>
            <w:bottom w:w="15" w:type="dxa"/>
            <w:right w:w="15" w:type="dxa"/>
          </w:tblCellMar>
        </w:tblPrEx>
        <w:trPr>
          <w:trHeight w:val="34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2.政府性基金预算财政拨款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sz w:val="21"/>
                <w:szCs w:val="21"/>
                <w:lang w:val="en-US" w:eastAsia="zh-CN"/>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2.</w:t>
            </w:r>
            <w:r>
              <w:rPr>
                <w:rFonts w:hint="eastAsia" w:ascii="宋体" w:hAnsi="宋体" w:cs="宋体"/>
                <w:color w:val="000000"/>
                <w:kern w:val="0"/>
                <w:szCs w:val="21"/>
              </w:rPr>
              <w:t>外交支出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 xml:space="preserve">3.国有资本经营预算财政拨款 </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3.</w:t>
            </w:r>
            <w:r>
              <w:rPr>
                <w:rFonts w:hint="eastAsia" w:ascii="宋体" w:hAnsi="宋体" w:cs="宋体"/>
                <w:color w:val="000000"/>
                <w:kern w:val="0"/>
                <w:szCs w:val="21"/>
              </w:rPr>
              <w:t>国防支出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4.上级补助收入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4.</w:t>
            </w:r>
            <w:r>
              <w:rPr>
                <w:rFonts w:hint="eastAsia" w:ascii="宋体" w:hAnsi="宋体" w:cs="宋体"/>
                <w:color w:val="000000"/>
                <w:kern w:val="0"/>
                <w:szCs w:val="21"/>
              </w:rPr>
              <w:t>公共安全支出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5.事业收入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5.</w:t>
            </w:r>
            <w:r>
              <w:rPr>
                <w:rFonts w:hint="eastAsia" w:ascii="宋体" w:hAnsi="宋体" w:cs="宋体"/>
                <w:color w:val="000000"/>
                <w:kern w:val="0"/>
                <w:szCs w:val="21"/>
              </w:rPr>
              <w:t>教育支出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6.经营收入</w:t>
            </w:r>
          </w:p>
        </w:tc>
        <w:tc>
          <w:tcPr>
            <w:tcW w:w="1080"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6.</w:t>
            </w:r>
            <w:r>
              <w:rPr>
                <w:rFonts w:hint="eastAsia" w:ascii="宋体" w:hAnsi="宋体" w:cs="宋体"/>
                <w:color w:val="000000"/>
                <w:kern w:val="0"/>
                <w:szCs w:val="21"/>
              </w:rPr>
              <w:t>科学技术支出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7.附属单位上缴收入</w:t>
            </w:r>
          </w:p>
        </w:tc>
        <w:tc>
          <w:tcPr>
            <w:tcW w:w="1080"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7.</w:t>
            </w:r>
            <w:r>
              <w:rPr>
                <w:rFonts w:hint="eastAsia" w:ascii="宋体" w:hAnsi="宋体" w:cs="宋体"/>
                <w:color w:val="000000"/>
                <w:kern w:val="0"/>
                <w:szCs w:val="21"/>
              </w:rPr>
              <w:t>文化</w:t>
            </w:r>
            <w:r>
              <w:rPr>
                <w:rFonts w:hint="eastAsia" w:ascii="宋体" w:hAnsi="宋体" w:cs="宋体"/>
                <w:color w:val="000000"/>
                <w:kern w:val="0"/>
                <w:szCs w:val="21"/>
                <w:lang w:eastAsia="zh-CN"/>
              </w:rPr>
              <w:t>旅游</w:t>
            </w:r>
            <w:r>
              <w:rPr>
                <w:rFonts w:hint="eastAsia" w:ascii="宋体" w:hAnsi="宋体" w:cs="宋体"/>
                <w:color w:val="000000"/>
                <w:kern w:val="0"/>
                <w:szCs w:val="21"/>
              </w:rPr>
              <w:t>体育与传媒支出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8.其他收入</w:t>
            </w:r>
          </w:p>
        </w:tc>
        <w:tc>
          <w:tcPr>
            <w:tcW w:w="1080"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lang w:val="en-US"/>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8.</w:t>
            </w:r>
            <w:r>
              <w:rPr>
                <w:rFonts w:hint="eastAsia" w:ascii="宋体" w:hAnsi="宋体" w:cs="宋体"/>
                <w:color w:val="000000"/>
                <w:kern w:val="0"/>
                <w:szCs w:val="21"/>
              </w:rPr>
              <w:t>社会保障和就业支出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val="en-US" w:eastAsia="zh-CN"/>
              </w:rPr>
              <w:t xml:space="preserve"> 9.</w:t>
            </w:r>
            <w:r>
              <w:rPr>
                <w:rFonts w:hint="eastAsia" w:ascii="宋体" w:hAnsi="宋体" w:cs="宋体"/>
                <w:color w:val="000000"/>
                <w:kern w:val="0"/>
                <w:szCs w:val="21"/>
                <w:lang w:eastAsia="zh-CN"/>
              </w:rPr>
              <w:t>卫生健康</w:t>
            </w:r>
            <w:r>
              <w:rPr>
                <w:rFonts w:hint="eastAsia" w:ascii="宋体" w:hAnsi="宋体" w:cs="宋体"/>
                <w:color w:val="000000"/>
                <w:kern w:val="0"/>
                <w:szCs w:val="21"/>
              </w:rPr>
              <w:t>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249"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eastAsia="zh-CN"/>
              </w:rPr>
              <w:t>10.</w:t>
            </w:r>
            <w:r>
              <w:rPr>
                <w:rFonts w:hint="eastAsia" w:ascii="宋体" w:hAnsi="宋体" w:cs="宋体"/>
                <w:color w:val="000000"/>
                <w:kern w:val="0"/>
                <w:szCs w:val="21"/>
              </w:rPr>
              <w:t>节能环保支出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3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0"/>
                <w:szCs w:val="20"/>
                <w:u w:val="none"/>
                <w:lang w:val="en-US" w:eastAsia="zh-CN" w:bidi="ar"/>
              </w:rPr>
              <w:t xml:space="preserve"> </w:t>
            </w:r>
          </w:p>
        </w:tc>
        <w:tc>
          <w:tcPr>
            <w:tcW w:w="1080"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1.</w:t>
            </w:r>
            <w:r>
              <w:rPr>
                <w:rFonts w:hint="eastAsia" w:ascii="宋体" w:hAnsi="宋体" w:cs="宋体"/>
                <w:color w:val="000000"/>
                <w:kern w:val="0"/>
                <w:szCs w:val="21"/>
              </w:rPr>
              <w:t>城乡社区支出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2.</w:t>
            </w:r>
            <w:r>
              <w:rPr>
                <w:rFonts w:hint="eastAsia" w:ascii="宋体" w:hAnsi="宋体" w:cs="宋体"/>
                <w:color w:val="000000"/>
                <w:kern w:val="0"/>
                <w:szCs w:val="21"/>
              </w:rPr>
              <w:t>农林水支出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1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3.</w:t>
            </w:r>
            <w:r>
              <w:rPr>
                <w:rFonts w:hint="eastAsia" w:ascii="宋体" w:hAnsi="宋体" w:cs="宋体"/>
                <w:color w:val="000000"/>
                <w:kern w:val="0"/>
                <w:szCs w:val="21"/>
              </w:rPr>
              <w:t>交通运输支出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4.</w:t>
            </w:r>
            <w:r>
              <w:rPr>
                <w:rFonts w:hint="eastAsia" w:ascii="宋体" w:hAnsi="宋体" w:cs="宋体"/>
                <w:color w:val="000000"/>
                <w:kern w:val="0"/>
                <w:szCs w:val="21"/>
              </w:rPr>
              <w:t>资源勘探信息等支出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5.</w:t>
            </w:r>
            <w:r>
              <w:rPr>
                <w:rFonts w:hint="eastAsia" w:ascii="宋体" w:hAnsi="宋体" w:cs="宋体"/>
                <w:color w:val="000000"/>
                <w:kern w:val="0"/>
                <w:szCs w:val="21"/>
              </w:rPr>
              <w:t>商业服务业等支出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298"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6.</w:t>
            </w:r>
            <w:r>
              <w:rPr>
                <w:rFonts w:hint="eastAsia" w:ascii="宋体" w:hAnsi="宋体" w:cs="宋体"/>
                <w:color w:val="000000"/>
                <w:kern w:val="0"/>
                <w:szCs w:val="21"/>
              </w:rPr>
              <w:t>金融支出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1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7.</w:t>
            </w:r>
            <w:r>
              <w:rPr>
                <w:rFonts w:hint="eastAsia" w:ascii="宋体" w:hAnsi="宋体" w:cs="宋体"/>
                <w:color w:val="000000"/>
                <w:kern w:val="0"/>
                <w:szCs w:val="21"/>
              </w:rPr>
              <w:t>援助其他地区支出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281"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8.自然资源</w:t>
            </w:r>
            <w:r>
              <w:rPr>
                <w:rFonts w:hint="eastAsia" w:ascii="宋体" w:hAnsi="宋体" w:cs="宋体"/>
                <w:color w:val="000000"/>
                <w:kern w:val="0"/>
                <w:szCs w:val="21"/>
              </w:rPr>
              <w:t>海洋气象等支出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4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w:t>
            </w:r>
            <w:r>
              <w:rPr>
                <w:rFonts w:hint="eastAsia" w:ascii="宋体" w:hAnsi="宋体" w:cs="宋体"/>
                <w:color w:val="000000"/>
                <w:kern w:val="0"/>
                <w:szCs w:val="21"/>
                <w:lang w:eastAsia="zh-CN"/>
              </w:rPr>
              <w:t>9.</w:t>
            </w:r>
            <w:r>
              <w:rPr>
                <w:rFonts w:hint="eastAsia" w:ascii="宋体" w:hAnsi="宋体" w:cs="宋体"/>
                <w:color w:val="000000"/>
                <w:kern w:val="0"/>
                <w:szCs w:val="21"/>
              </w:rPr>
              <w:t>住房保障支出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20</w:t>
            </w:r>
            <w:r>
              <w:rPr>
                <w:rFonts w:hint="eastAsia" w:ascii="宋体" w:hAnsi="宋体" w:cs="宋体"/>
                <w:color w:val="000000"/>
                <w:kern w:val="0"/>
                <w:szCs w:val="21"/>
                <w:lang w:val="en-US" w:eastAsia="zh-CN"/>
              </w:rPr>
              <w:t>.</w:t>
            </w:r>
            <w:r>
              <w:rPr>
                <w:rFonts w:hint="eastAsia" w:ascii="宋体" w:hAnsi="宋体" w:cs="宋体"/>
                <w:color w:val="000000"/>
                <w:kern w:val="0"/>
                <w:szCs w:val="21"/>
              </w:rPr>
              <w:t>粮油物资储备支出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rPr>
              <w:t xml:space="preserve">  2</w:t>
            </w:r>
            <w:r>
              <w:rPr>
                <w:rFonts w:hint="eastAsia" w:ascii="宋体" w:hAnsi="宋体" w:cs="宋体"/>
                <w:color w:val="000000"/>
                <w:kern w:val="0"/>
                <w:szCs w:val="21"/>
                <w:lang w:eastAsia="zh-CN"/>
              </w:rPr>
              <w:t>1.国有资本经营预算支出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22.</w:t>
            </w:r>
            <w:r>
              <w:rPr>
                <w:rFonts w:hint="eastAsia" w:ascii="宋体" w:hAnsi="宋体" w:cs="宋体"/>
                <w:color w:val="000000"/>
                <w:kern w:val="0"/>
                <w:szCs w:val="21"/>
                <w:lang w:eastAsia="zh-CN"/>
              </w:rPr>
              <w:t>灾害防治及应急管理支出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both"/>
              <w:textAlignment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23.</w:t>
            </w:r>
            <w:r>
              <w:rPr>
                <w:rFonts w:hint="eastAsia" w:ascii="宋体" w:hAnsi="宋体" w:cs="宋体"/>
                <w:color w:val="000000"/>
                <w:kern w:val="0"/>
                <w:szCs w:val="21"/>
                <w:lang w:eastAsia="zh-CN"/>
              </w:rPr>
              <w:t>其他支出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415" w:hRule="atLeast"/>
        </w:trPr>
        <w:tc>
          <w:tcPr>
            <w:tcW w:w="3388"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本年收入合计</w:t>
            </w:r>
          </w:p>
        </w:tc>
        <w:tc>
          <w:tcPr>
            <w:tcW w:w="1080" w:type="dxa"/>
            <w:tcBorders>
              <w:top w:val="single" w:color="000000" w:sz="4" w:space="0"/>
              <w:left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color w:val="000000"/>
                <w:kern w:val="0"/>
                <w:sz w:val="21"/>
                <w:szCs w:val="21"/>
                <w:u w:val="none"/>
                <w:lang w:val="en-US" w:eastAsia="zh-CN" w:bidi="ar"/>
              </w:rPr>
              <w:t>94.63</w:t>
            </w:r>
          </w:p>
        </w:tc>
        <w:tc>
          <w:tcPr>
            <w:tcW w:w="309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326" w:type="dxa"/>
            <w:tcBorders>
              <w:top w:val="single" w:color="000000" w:sz="4" w:space="0"/>
              <w:left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94.63</w:t>
            </w:r>
          </w:p>
        </w:tc>
      </w:tr>
      <w:tr>
        <w:tblPrEx>
          <w:tblCellMar>
            <w:top w:w="15" w:type="dxa"/>
            <w:left w:w="15" w:type="dxa"/>
            <w:bottom w:w="15" w:type="dxa"/>
            <w:right w:w="15" w:type="dxa"/>
          </w:tblCellMar>
        </w:tblPrEx>
        <w:trPr>
          <w:trHeight w:val="355"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eastAsia="zh-CN"/>
              </w:rPr>
              <w:t>使用非财政拨款结余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Cs/>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 xml:space="preserve">结余分配 </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71"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年初结转和结余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Cs/>
                <w:color w:val="000000"/>
                <w:sz w:val="21"/>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年末结转和结余</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c>
      </w:tr>
      <w:tr>
        <w:tblPrEx>
          <w:tblCellMar>
            <w:top w:w="15" w:type="dxa"/>
            <w:left w:w="15" w:type="dxa"/>
            <w:bottom w:w="15" w:type="dxa"/>
            <w:right w:w="15" w:type="dxa"/>
          </w:tblCellMar>
        </w:tblPrEx>
        <w:trPr>
          <w:trHeight w:val="382"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收入总计</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r>
              <w:rPr>
                <w:rFonts w:hint="eastAsia" w:ascii="宋体" w:hAnsi="宋体" w:cs="宋体"/>
                <w:i w:val="0"/>
                <w:color w:val="000000"/>
                <w:kern w:val="0"/>
                <w:sz w:val="21"/>
                <w:szCs w:val="21"/>
                <w:u w:val="none"/>
                <w:lang w:val="en-US" w:eastAsia="zh-CN" w:bidi="ar"/>
              </w:rPr>
              <w:t>94.63</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支出总计</w:t>
            </w:r>
          </w:p>
        </w:tc>
        <w:tc>
          <w:tcPr>
            <w:tcW w:w="13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94.63</w:t>
            </w:r>
          </w:p>
        </w:tc>
      </w:tr>
    </w:tbl>
    <w:p>
      <w:pPr>
        <w:keepNext w:val="0"/>
        <w:keepLines w:val="0"/>
        <w:widowControl/>
        <w:suppressLineNumbers w:val="0"/>
        <w:jc w:val="left"/>
        <w:rPr>
          <w:rFonts w:ascii="宋体" w:hAnsi="宋体" w:cs="宋体"/>
          <w:sz w:val="48"/>
          <w:szCs w:val="48"/>
        </w:rPr>
      </w:pPr>
      <w:r>
        <w:rPr>
          <w:rFonts w:hint="eastAsia" w:ascii="宋体" w:hAnsi="宋体" w:cs="宋体"/>
          <w:color w:val="000000"/>
          <w:kern w:val="0"/>
          <w:szCs w:val="21"/>
        </w:rPr>
        <w:t>注：本表反映部门本年度的总收支和年末结转结余情况</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本表金额转换为万元时，因四舍五入可能存在尾差。</w:t>
      </w: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收入决算表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公开02表</w:t>
      </w:r>
    </w:p>
    <w:p>
      <w:pPr>
        <w:jc w:val="left"/>
        <w:rPr>
          <w:rFonts w:ascii="宋体" w:hAnsi="宋体" w:cs="宋体"/>
          <w:b/>
          <w:bCs/>
          <w:sz w:val="48"/>
          <w:szCs w:val="48"/>
        </w:rPr>
      </w:pPr>
      <w:r>
        <w:rPr>
          <w:rFonts w:hint="eastAsia" w:ascii="宋体" w:hAnsi="宋体" w:cs="宋体"/>
          <w:b/>
          <w:bCs/>
          <w:szCs w:val="21"/>
        </w:rPr>
        <w:t>编制部门：</w:t>
      </w:r>
      <w:r>
        <w:rPr>
          <w:rFonts w:hint="eastAsia" w:ascii="宋体" w:hAnsi="宋体" w:cs="宋体"/>
          <w:b/>
          <w:bCs/>
          <w:szCs w:val="21"/>
          <w:lang w:val="en-US" w:eastAsia="zh-CN"/>
        </w:rPr>
        <w:t>陕西省交通运输工会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w:t>
      </w:r>
      <w:r>
        <w:rPr>
          <w:rFonts w:hint="eastAsia" w:ascii="宋体" w:hAnsi="宋体" w:cs="宋体"/>
          <w:b/>
          <w:bCs/>
          <w:szCs w:val="21"/>
          <w:lang w:val="en-US" w:eastAsia="zh-CN"/>
        </w:rPr>
        <w:t>万</w:t>
      </w:r>
      <w:r>
        <w:rPr>
          <w:rFonts w:hint="eastAsia" w:ascii="宋体" w:hAnsi="宋体" w:cs="宋体"/>
          <w:b/>
          <w:bCs/>
          <w:szCs w:val="21"/>
        </w:rPr>
        <w:t>元</w:t>
      </w:r>
    </w:p>
    <w:tbl>
      <w:tblPr>
        <w:tblStyle w:val="10"/>
        <w:tblW w:w="8867" w:type="dxa"/>
        <w:tblInd w:w="0" w:type="dxa"/>
        <w:tblLayout w:type="fixed"/>
        <w:tblCellMar>
          <w:top w:w="15" w:type="dxa"/>
          <w:left w:w="15" w:type="dxa"/>
          <w:bottom w:w="15" w:type="dxa"/>
          <w:right w:w="15" w:type="dxa"/>
        </w:tblCellMar>
      </w:tblPr>
      <w:tblGrid>
        <w:gridCol w:w="674"/>
        <w:gridCol w:w="1415"/>
        <w:gridCol w:w="932"/>
        <w:gridCol w:w="835"/>
        <w:gridCol w:w="660"/>
        <w:gridCol w:w="855"/>
        <w:gridCol w:w="960"/>
        <w:gridCol w:w="900"/>
        <w:gridCol w:w="766"/>
        <w:gridCol w:w="870"/>
      </w:tblGrid>
      <w:tr>
        <w:tblPrEx>
          <w:tblCellMar>
            <w:top w:w="15" w:type="dxa"/>
            <w:left w:w="15" w:type="dxa"/>
            <w:bottom w:w="15" w:type="dxa"/>
            <w:right w:w="15" w:type="dxa"/>
          </w:tblCellMar>
        </w:tblPrEx>
        <w:trPr>
          <w:trHeight w:val="439" w:hRule="atLeast"/>
        </w:trPr>
        <w:tc>
          <w:tcPr>
            <w:tcW w:w="208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9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本年收入合计</w:t>
            </w:r>
          </w:p>
        </w:tc>
        <w:tc>
          <w:tcPr>
            <w:tcW w:w="8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财政拨款收入</w:t>
            </w:r>
          </w:p>
        </w:tc>
        <w:tc>
          <w:tcPr>
            <w:tcW w:w="6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上级补助收入</w:t>
            </w:r>
          </w:p>
        </w:tc>
        <w:tc>
          <w:tcPr>
            <w:tcW w:w="18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事业收入</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经营</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c>
          <w:tcPr>
            <w:tcW w:w="7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附属单位上缴收入</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kern w:val="0"/>
                <w:szCs w:val="21"/>
              </w:rPr>
            </w:pPr>
            <w:r>
              <w:rPr>
                <w:rFonts w:hint="eastAsia" w:ascii="宋体" w:hAnsi="宋体" w:cs="宋体"/>
                <w:b/>
                <w:bCs/>
                <w:color w:val="000000"/>
                <w:kern w:val="0"/>
                <w:szCs w:val="21"/>
              </w:rPr>
              <w:t>其他</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r>
      <w:tr>
        <w:tblPrEx>
          <w:tblCellMar>
            <w:top w:w="15" w:type="dxa"/>
            <w:left w:w="15" w:type="dxa"/>
            <w:bottom w:w="15" w:type="dxa"/>
            <w:right w:w="15" w:type="dxa"/>
          </w:tblCellMar>
        </w:tblPrEx>
        <w:trPr>
          <w:trHeight w:val="1125" w:hRule="atLeast"/>
        </w:trPr>
        <w:tc>
          <w:tcPr>
            <w:tcW w:w="674"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41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科目</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名称</w:t>
            </w:r>
          </w:p>
        </w:tc>
        <w:tc>
          <w:tcPr>
            <w:tcW w:w="9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6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eastAsia="zh-CN"/>
              </w:rPr>
            </w:pPr>
            <w:r>
              <w:rPr>
                <w:rFonts w:hint="eastAsia" w:ascii="宋体" w:hAnsi="宋体" w:cs="宋体"/>
                <w:b/>
                <w:color w:val="000000"/>
                <w:szCs w:val="21"/>
                <w:lang w:eastAsia="zh-CN"/>
              </w:rPr>
              <w:t>小计</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eastAsia="zh-CN"/>
              </w:rPr>
            </w:pPr>
            <w:r>
              <w:rPr>
                <w:rFonts w:hint="eastAsia" w:ascii="宋体" w:hAnsi="宋体" w:cs="宋体"/>
                <w:b/>
                <w:color w:val="000000"/>
                <w:szCs w:val="21"/>
                <w:lang w:eastAsia="zh-CN"/>
              </w:rPr>
              <w:t>其中：教育收费</w:t>
            </w: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9" w:hRule="atLeast"/>
        </w:trPr>
        <w:tc>
          <w:tcPr>
            <w:tcW w:w="208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cs="宋体"/>
                <w:i w:val="0"/>
                <w:color w:val="000000"/>
                <w:kern w:val="0"/>
                <w:sz w:val="21"/>
                <w:szCs w:val="21"/>
                <w:u w:val="none"/>
                <w:lang w:val="en-US" w:eastAsia="zh-CN" w:bidi="ar"/>
              </w:rPr>
              <w:t>94.63</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cs="宋体"/>
                <w:i w:val="0"/>
                <w:color w:val="000000"/>
                <w:kern w:val="0"/>
                <w:sz w:val="21"/>
                <w:szCs w:val="21"/>
                <w:u w:val="none"/>
                <w:lang w:val="en-US" w:eastAsia="zh-CN" w:bidi="ar"/>
              </w:rPr>
              <w:t>94.63</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r>
      <w:tr>
        <w:tblPrEx>
          <w:tblCellMar>
            <w:top w:w="15" w:type="dxa"/>
            <w:left w:w="15" w:type="dxa"/>
            <w:bottom w:w="15" w:type="dxa"/>
            <w:right w:w="15" w:type="dxa"/>
          </w:tblCellMar>
        </w:tblPrEx>
        <w:trPr>
          <w:trHeight w:val="439"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w:t>
            </w:r>
          </w:p>
        </w:tc>
        <w:tc>
          <w:tcPr>
            <w:tcW w:w="1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一般公共服务支出</w:t>
            </w: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tabs>
                <w:tab w:val="left" w:pos="453"/>
              </w:tabs>
              <w:jc w:val="center"/>
              <w:textAlignment w:val="center"/>
              <w:rPr>
                <w:rFonts w:hint="eastAsia" w:ascii="宋体" w:hAnsi="宋体" w:eastAsia="宋体" w:cs="宋体"/>
                <w:color w:val="000000"/>
                <w:sz w:val="18"/>
                <w:szCs w:val="18"/>
                <w:lang w:eastAsia="zh-CN"/>
              </w:rPr>
            </w:pPr>
            <w:r>
              <w:rPr>
                <w:rFonts w:hint="eastAsia" w:ascii="宋体" w:hAnsi="宋体" w:cs="宋体"/>
                <w:i w:val="0"/>
                <w:color w:val="000000"/>
                <w:kern w:val="0"/>
                <w:sz w:val="21"/>
                <w:szCs w:val="21"/>
                <w:u w:val="none"/>
                <w:lang w:val="en-US" w:eastAsia="zh-CN" w:bidi="ar"/>
              </w:rPr>
              <w:t>94.63</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tabs>
                <w:tab w:val="left" w:pos="485"/>
              </w:tabs>
              <w:jc w:val="center"/>
              <w:textAlignment w:val="center"/>
              <w:rPr>
                <w:rFonts w:hint="eastAsia" w:ascii="宋体" w:hAnsi="宋体" w:eastAsia="宋体" w:cs="宋体"/>
                <w:color w:val="000000"/>
                <w:sz w:val="18"/>
                <w:szCs w:val="18"/>
                <w:lang w:eastAsia="zh-CN"/>
              </w:rPr>
            </w:pPr>
            <w:r>
              <w:rPr>
                <w:rFonts w:hint="eastAsia" w:ascii="宋体" w:hAnsi="宋体" w:cs="宋体"/>
                <w:i w:val="0"/>
                <w:color w:val="000000"/>
                <w:kern w:val="0"/>
                <w:sz w:val="21"/>
                <w:szCs w:val="21"/>
                <w:u w:val="none"/>
                <w:lang w:val="en-US" w:eastAsia="zh-CN" w:bidi="ar"/>
              </w:rPr>
              <w:t>94.63</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r>
      <w:tr>
        <w:tblPrEx>
          <w:tblCellMar>
            <w:top w:w="15" w:type="dxa"/>
            <w:left w:w="15" w:type="dxa"/>
            <w:bottom w:w="15" w:type="dxa"/>
            <w:right w:w="15" w:type="dxa"/>
          </w:tblCellMar>
        </w:tblPrEx>
        <w:trPr>
          <w:trHeight w:val="439"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20129</w:t>
            </w:r>
          </w:p>
        </w:tc>
        <w:tc>
          <w:tcPr>
            <w:tcW w:w="1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群众团体事务</w:t>
            </w: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tabs>
                <w:tab w:val="left" w:pos="260"/>
              </w:tabs>
              <w:jc w:val="center"/>
              <w:textAlignment w:val="center"/>
              <w:rPr>
                <w:rFonts w:hint="eastAsia" w:ascii="宋体" w:hAnsi="宋体" w:eastAsia="宋体" w:cs="宋体"/>
                <w:color w:val="000000"/>
                <w:sz w:val="18"/>
                <w:szCs w:val="18"/>
                <w:lang w:eastAsia="zh-CN"/>
              </w:rPr>
            </w:pPr>
            <w:r>
              <w:rPr>
                <w:rFonts w:hint="eastAsia" w:ascii="宋体" w:hAnsi="宋体" w:cs="宋体"/>
                <w:i w:val="0"/>
                <w:color w:val="000000"/>
                <w:kern w:val="0"/>
                <w:sz w:val="21"/>
                <w:szCs w:val="21"/>
                <w:u w:val="none"/>
                <w:lang w:val="en-US" w:eastAsia="zh-CN" w:bidi="ar"/>
              </w:rPr>
              <w:t>94.63</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cs="宋体"/>
                <w:i w:val="0"/>
                <w:color w:val="000000"/>
                <w:kern w:val="0"/>
                <w:sz w:val="21"/>
                <w:szCs w:val="21"/>
                <w:u w:val="none"/>
                <w:lang w:val="en-US" w:eastAsia="zh-CN" w:bidi="ar"/>
              </w:rPr>
              <w:t>94.63</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color w:val="000000"/>
                <w:sz w:val="18"/>
                <w:szCs w:val="18"/>
                <w:lang w:val="en-US" w:eastAsia="zh-CN"/>
              </w:rPr>
            </w:pP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r>
      <w:tr>
        <w:tblPrEx>
          <w:tblCellMar>
            <w:top w:w="15" w:type="dxa"/>
            <w:left w:w="15" w:type="dxa"/>
            <w:bottom w:w="15" w:type="dxa"/>
            <w:right w:w="15" w:type="dxa"/>
          </w:tblCellMar>
        </w:tblPrEx>
        <w:trPr>
          <w:trHeight w:val="439"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2012901</w:t>
            </w:r>
          </w:p>
        </w:tc>
        <w:tc>
          <w:tcPr>
            <w:tcW w:w="1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行政运行</w:t>
            </w: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tabs>
                <w:tab w:val="left" w:pos="592"/>
              </w:tabs>
              <w:jc w:val="center"/>
              <w:textAlignment w:val="center"/>
              <w:rPr>
                <w:rFonts w:hint="eastAsia" w:ascii="宋体" w:hAnsi="宋体" w:eastAsia="宋体" w:cs="宋体"/>
                <w:color w:val="000000"/>
                <w:sz w:val="18"/>
                <w:szCs w:val="18"/>
                <w:lang w:eastAsia="zh-CN"/>
              </w:rPr>
            </w:pPr>
            <w:r>
              <w:rPr>
                <w:rFonts w:hint="eastAsia" w:ascii="宋体" w:hAnsi="宋体" w:cs="宋体"/>
                <w:i w:val="0"/>
                <w:color w:val="000000"/>
                <w:kern w:val="0"/>
                <w:sz w:val="21"/>
                <w:szCs w:val="21"/>
                <w:u w:val="none"/>
                <w:lang w:val="en-US" w:eastAsia="zh-CN" w:bidi="ar"/>
              </w:rPr>
              <w:t>94.63</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tabs>
                <w:tab w:val="left" w:pos="485"/>
              </w:tabs>
              <w:jc w:val="center"/>
              <w:textAlignment w:val="center"/>
              <w:rPr>
                <w:rFonts w:hint="eastAsia" w:ascii="宋体" w:hAnsi="宋体" w:eastAsia="宋体" w:cs="宋体"/>
                <w:color w:val="000000"/>
                <w:sz w:val="18"/>
                <w:szCs w:val="18"/>
                <w:lang w:eastAsia="zh-CN"/>
              </w:rPr>
            </w:pPr>
            <w:r>
              <w:rPr>
                <w:rFonts w:hint="eastAsia" w:ascii="宋体" w:hAnsi="宋体" w:cs="宋体"/>
                <w:i w:val="0"/>
                <w:color w:val="000000"/>
                <w:kern w:val="0"/>
                <w:sz w:val="21"/>
                <w:szCs w:val="21"/>
                <w:u w:val="none"/>
                <w:lang w:val="en-US" w:eastAsia="zh-CN" w:bidi="ar"/>
              </w:rPr>
              <w:t>94.63</w:t>
            </w: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r>
      <w:tr>
        <w:tblPrEx>
          <w:tblCellMar>
            <w:top w:w="15" w:type="dxa"/>
            <w:left w:w="15" w:type="dxa"/>
            <w:bottom w:w="15" w:type="dxa"/>
            <w:right w:w="15" w:type="dxa"/>
          </w:tblCellMar>
        </w:tblPrEx>
        <w:trPr>
          <w:trHeight w:val="439"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1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r>
      <w:tr>
        <w:tblPrEx>
          <w:tblCellMar>
            <w:top w:w="15" w:type="dxa"/>
            <w:left w:w="15" w:type="dxa"/>
            <w:bottom w:w="15" w:type="dxa"/>
            <w:right w:w="15" w:type="dxa"/>
          </w:tblCellMar>
        </w:tblPrEx>
        <w:trPr>
          <w:trHeight w:val="439"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1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r>
      <w:tr>
        <w:tblPrEx>
          <w:tblCellMar>
            <w:top w:w="15" w:type="dxa"/>
            <w:left w:w="15" w:type="dxa"/>
            <w:bottom w:w="15" w:type="dxa"/>
            <w:right w:w="15" w:type="dxa"/>
          </w:tblCellMar>
        </w:tblPrEx>
        <w:trPr>
          <w:trHeight w:val="439"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1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r>
      <w:tr>
        <w:tblPrEx>
          <w:tblCellMar>
            <w:top w:w="15" w:type="dxa"/>
            <w:left w:w="15" w:type="dxa"/>
            <w:bottom w:w="15" w:type="dxa"/>
            <w:right w:w="15" w:type="dxa"/>
          </w:tblCellMar>
        </w:tblPrEx>
        <w:trPr>
          <w:trHeight w:val="439"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1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r>
      <w:tr>
        <w:tblPrEx>
          <w:tblCellMar>
            <w:top w:w="15" w:type="dxa"/>
            <w:left w:w="15" w:type="dxa"/>
            <w:bottom w:w="15" w:type="dxa"/>
            <w:right w:w="15" w:type="dxa"/>
          </w:tblCellMar>
        </w:tblPrEx>
        <w:trPr>
          <w:trHeight w:val="439"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1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r>
      <w:tr>
        <w:tblPrEx>
          <w:tblCellMar>
            <w:top w:w="15" w:type="dxa"/>
            <w:left w:w="15" w:type="dxa"/>
            <w:bottom w:w="15" w:type="dxa"/>
            <w:right w:w="15" w:type="dxa"/>
          </w:tblCellMar>
        </w:tblPrEx>
        <w:trPr>
          <w:trHeight w:val="439"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1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r>
      <w:tr>
        <w:tblPrEx>
          <w:tblCellMar>
            <w:top w:w="15" w:type="dxa"/>
            <w:left w:w="15" w:type="dxa"/>
            <w:bottom w:w="15" w:type="dxa"/>
            <w:right w:w="15" w:type="dxa"/>
          </w:tblCellMar>
        </w:tblPrEx>
        <w:trPr>
          <w:trHeight w:val="439"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1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r>
      <w:tr>
        <w:tblPrEx>
          <w:tblCellMar>
            <w:top w:w="15" w:type="dxa"/>
            <w:left w:w="15" w:type="dxa"/>
            <w:bottom w:w="15" w:type="dxa"/>
            <w:right w:w="15" w:type="dxa"/>
          </w:tblCellMar>
        </w:tblPrEx>
        <w:trPr>
          <w:trHeight w:val="439"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1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18"/>
                <w:szCs w:val="18"/>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18"/>
                <w:szCs w:val="18"/>
              </w:rPr>
            </w:pPr>
          </w:p>
        </w:tc>
      </w:tr>
    </w:tbl>
    <w:p>
      <w:pPr>
        <w:keepNext w:val="0"/>
        <w:keepLines w:val="0"/>
        <w:widowControl/>
        <w:suppressLineNumbers w:val="0"/>
        <w:jc w:val="left"/>
      </w:pPr>
      <w:r>
        <w:rPr>
          <w:rFonts w:hint="eastAsia" w:ascii="宋体" w:hAnsi="宋体" w:cs="宋体"/>
          <w:szCs w:val="21"/>
        </w:rPr>
        <w:t>注：本表反映部门本年度取得的各项收入情况</w:t>
      </w:r>
      <w:r>
        <w:rPr>
          <w:rFonts w:hint="eastAsia" w:ascii="宋体" w:hAnsi="宋体" w:cs="宋体"/>
          <w:szCs w:val="21"/>
          <w:lang w:eastAsia="zh-CN"/>
        </w:rPr>
        <w:t>。</w:t>
      </w:r>
      <w:r>
        <w:rPr>
          <w:rFonts w:hint="eastAsia" w:ascii="宋体" w:hAnsi="宋体" w:cs="宋体"/>
          <w:color w:val="000000"/>
          <w:kern w:val="0"/>
          <w:szCs w:val="21"/>
          <w:lang w:val="en-US" w:eastAsia="zh-CN"/>
        </w:rPr>
        <w:t>本表金额转换为万元时，因四舍五入可能存在尾差。</w:t>
      </w: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both"/>
        <w:rPr>
          <w:rFonts w:hint="eastAsia" w:ascii="宋体" w:hAnsi="宋体" w:cs="宋体"/>
          <w:b/>
          <w:bCs/>
          <w:sz w:val="32"/>
          <w:szCs w:val="32"/>
        </w:rPr>
      </w:pPr>
    </w:p>
    <w:p>
      <w:pPr>
        <w:pStyle w:val="2"/>
        <w:rPr>
          <w:rFonts w:hint="eastAsia"/>
        </w:rPr>
      </w:pPr>
    </w:p>
    <w:p>
      <w:pPr>
        <w:jc w:val="center"/>
        <w:rPr>
          <w:rFonts w:hint="eastAsia"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支出决算表</w:t>
      </w:r>
    </w:p>
    <w:p>
      <w:pPr>
        <w:rPr>
          <w:rFonts w:ascii="宋体" w:hAnsi="宋体" w:cs="宋体"/>
          <w:b/>
          <w:bCs/>
          <w:szCs w:val="21"/>
        </w:rPr>
      </w:pPr>
      <w:r>
        <w:rPr>
          <w:rFonts w:hint="eastAsia" w:ascii="宋体" w:hAnsi="宋体" w:cs="宋体"/>
          <w:b/>
          <w:bCs/>
          <w:sz w:val="24"/>
        </w:rPr>
        <w:t xml:space="preserve">                        </w:t>
      </w:r>
      <w:r>
        <w:rPr>
          <w:rFonts w:hint="eastAsia" w:ascii="宋体" w:hAnsi="宋体" w:cs="宋体"/>
          <w:b/>
          <w:bCs/>
          <w:szCs w:val="21"/>
        </w:rPr>
        <w:t xml:space="preserve">                                               公开03表</w:t>
      </w:r>
    </w:p>
    <w:p>
      <w:pPr>
        <w:jc w:val="left"/>
        <w:rPr>
          <w:rFonts w:ascii="宋体" w:hAnsi="宋体" w:cs="宋体"/>
          <w:b/>
          <w:bCs/>
          <w:sz w:val="48"/>
          <w:szCs w:val="48"/>
        </w:rPr>
      </w:pPr>
      <w:r>
        <w:rPr>
          <w:rFonts w:hint="eastAsia" w:ascii="宋体" w:hAnsi="宋体" w:cs="宋体"/>
          <w:b/>
          <w:bCs/>
          <w:szCs w:val="21"/>
        </w:rPr>
        <w:t>编制部门：</w:t>
      </w:r>
      <w:r>
        <w:rPr>
          <w:rFonts w:hint="eastAsia" w:ascii="宋体" w:hAnsi="宋体" w:cs="宋体"/>
          <w:b/>
          <w:bCs/>
          <w:szCs w:val="21"/>
          <w:lang w:val="en-US" w:eastAsia="zh-CN"/>
        </w:rPr>
        <w:t>陕西省交通运输工会</w:t>
      </w:r>
      <w:r>
        <w:rPr>
          <w:rFonts w:hint="eastAsia" w:ascii="宋体" w:hAnsi="宋体" w:cs="宋体"/>
          <w:b/>
          <w:bCs/>
          <w:szCs w:val="21"/>
        </w:rPr>
        <w:t xml:space="preserve">                                         金额单位：万元</w:t>
      </w:r>
    </w:p>
    <w:tbl>
      <w:tblPr>
        <w:tblStyle w:val="10"/>
        <w:tblW w:w="8896" w:type="dxa"/>
        <w:tblInd w:w="0" w:type="dxa"/>
        <w:tblLayout w:type="fixed"/>
        <w:tblCellMar>
          <w:top w:w="15" w:type="dxa"/>
          <w:left w:w="15" w:type="dxa"/>
          <w:bottom w:w="15" w:type="dxa"/>
          <w:right w:w="15" w:type="dxa"/>
        </w:tblCellMar>
      </w:tblPr>
      <w:tblGrid>
        <w:gridCol w:w="914"/>
        <w:gridCol w:w="83"/>
        <w:gridCol w:w="1662"/>
        <w:gridCol w:w="1080"/>
        <w:gridCol w:w="1170"/>
        <w:gridCol w:w="1050"/>
        <w:gridCol w:w="870"/>
        <w:gridCol w:w="930"/>
        <w:gridCol w:w="1137"/>
      </w:tblGrid>
      <w:tr>
        <w:tblPrEx>
          <w:tblCellMar>
            <w:top w:w="15" w:type="dxa"/>
            <w:left w:w="15" w:type="dxa"/>
            <w:bottom w:w="15" w:type="dxa"/>
            <w:right w:w="15" w:type="dxa"/>
          </w:tblCellMar>
        </w:tblPrEx>
        <w:trPr>
          <w:trHeight w:val="372" w:hRule="atLeast"/>
        </w:trPr>
        <w:tc>
          <w:tcPr>
            <w:tcW w:w="265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lang w:eastAsia="zh-CN"/>
              </w:rPr>
            </w:pPr>
            <w:r>
              <w:rPr>
                <w:rFonts w:hint="eastAsia" w:ascii="宋体" w:hAnsi="宋体" w:cs="宋体"/>
                <w:b/>
                <w:color w:val="000000"/>
                <w:kern w:val="0"/>
                <w:szCs w:val="21"/>
                <w:lang w:eastAsia="zh-CN"/>
              </w:rPr>
              <w:t>本年支出</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上缴上</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级支出</w:t>
            </w:r>
          </w:p>
        </w:tc>
        <w:tc>
          <w:tcPr>
            <w:tcW w:w="9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经营支出</w:t>
            </w:r>
          </w:p>
        </w:tc>
        <w:tc>
          <w:tcPr>
            <w:tcW w:w="11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对附属单位</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补助支出</w:t>
            </w:r>
          </w:p>
        </w:tc>
      </w:tr>
      <w:tr>
        <w:tblPrEx>
          <w:tblCellMar>
            <w:top w:w="15" w:type="dxa"/>
            <w:left w:w="15" w:type="dxa"/>
            <w:bottom w:w="15" w:type="dxa"/>
            <w:right w:w="15" w:type="dxa"/>
          </w:tblCellMar>
        </w:tblPrEx>
        <w:trPr>
          <w:trHeight w:val="702" w:hRule="atLeast"/>
        </w:trPr>
        <w:tc>
          <w:tcPr>
            <w:tcW w:w="9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372" w:hRule="atLeast"/>
        </w:trPr>
        <w:tc>
          <w:tcPr>
            <w:tcW w:w="265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1"/>
                <w:szCs w:val="21"/>
                <w:u w:val="none"/>
                <w:lang w:val="en-US" w:eastAsia="zh-CN" w:bidi="ar"/>
              </w:rPr>
              <w:t>94.63</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1"/>
                <w:szCs w:val="21"/>
                <w:u w:val="none"/>
                <w:lang w:val="en-US" w:eastAsia="zh-CN" w:bidi="ar"/>
              </w:rPr>
              <w:t>94.63</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w:t>
            </w: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一般公共服务支出</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1"/>
                <w:szCs w:val="21"/>
                <w:u w:val="none"/>
                <w:lang w:val="en-US" w:eastAsia="zh-CN" w:bidi="ar"/>
              </w:rPr>
              <w:t>94.63</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1"/>
                <w:szCs w:val="21"/>
                <w:u w:val="none"/>
                <w:lang w:val="en-US" w:eastAsia="zh-CN" w:bidi="ar"/>
              </w:rPr>
              <w:t>94.63</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20129</w:t>
            </w: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群众团体事务</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1"/>
                <w:szCs w:val="21"/>
                <w:u w:val="none"/>
                <w:lang w:val="en-US" w:eastAsia="zh-CN" w:bidi="ar"/>
              </w:rPr>
              <w:t>94.63</w:t>
            </w:r>
            <w:r>
              <w:rPr>
                <w:rFonts w:hint="eastAsia" w:ascii="宋体" w:hAnsi="宋体" w:eastAsia="宋体" w:cs="宋体"/>
                <w:i w:val="0"/>
                <w:color w:val="000000"/>
                <w:kern w:val="0"/>
                <w:sz w:val="18"/>
                <w:szCs w:val="18"/>
                <w:u w:val="none"/>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1"/>
                <w:szCs w:val="21"/>
                <w:u w:val="none"/>
                <w:lang w:val="en-US" w:eastAsia="zh-CN" w:bidi="ar"/>
              </w:rPr>
              <w:t>94.63</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2012901</w:t>
            </w: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行政运行</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1"/>
                <w:szCs w:val="21"/>
                <w:u w:val="none"/>
                <w:lang w:val="en-US" w:eastAsia="zh-CN" w:bidi="ar"/>
              </w:rPr>
              <w:t>94.63</w:t>
            </w:r>
            <w:r>
              <w:rPr>
                <w:rFonts w:hint="eastAsia" w:ascii="宋体" w:hAnsi="宋体" w:eastAsia="宋体" w:cs="宋体"/>
                <w:i w:val="0"/>
                <w:color w:val="000000"/>
                <w:kern w:val="0"/>
                <w:sz w:val="18"/>
                <w:szCs w:val="18"/>
                <w:u w:val="none"/>
                <w:lang w:val="en-US" w:eastAsia="zh-CN" w:bidi="ar"/>
              </w:rPr>
              <w:t>5</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21"/>
                <w:szCs w:val="21"/>
                <w:u w:val="none"/>
                <w:lang w:val="en-US" w:eastAsia="zh-CN" w:bidi="ar"/>
              </w:rPr>
              <w:t>94.63</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r>
    </w:tbl>
    <w:p>
      <w:pPr>
        <w:keepNext w:val="0"/>
        <w:keepLines w:val="0"/>
        <w:widowControl/>
        <w:suppressLineNumbers w:val="0"/>
        <w:jc w:val="left"/>
        <w:rPr>
          <w:rFonts w:hint="eastAsia" w:ascii="宋体" w:hAnsi="宋体" w:cs="宋体"/>
          <w:color w:val="000000"/>
          <w:kern w:val="0"/>
          <w:szCs w:val="21"/>
          <w:lang w:val="en-US" w:eastAsia="zh-CN"/>
        </w:rPr>
      </w:pPr>
      <w:r>
        <w:rPr>
          <w:rFonts w:hint="eastAsia" w:ascii="宋体" w:hAnsi="宋体" w:cs="宋体"/>
          <w:szCs w:val="21"/>
        </w:rPr>
        <w:t>注：本表反映部门本年度各项支出情况。</w:t>
      </w:r>
      <w:r>
        <w:rPr>
          <w:rFonts w:hint="eastAsia" w:ascii="宋体" w:hAnsi="宋体" w:cs="宋体"/>
          <w:color w:val="000000"/>
          <w:kern w:val="0"/>
          <w:szCs w:val="21"/>
          <w:lang w:val="en-US" w:eastAsia="zh-CN"/>
        </w:rPr>
        <w:t>本表金额转换为万元时，因四舍五入可能存在尾差。</w:t>
      </w: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both"/>
        <w:rPr>
          <w:rFonts w:hint="eastAsia" w:ascii="宋体" w:hAnsi="宋体" w:cs="宋体"/>
          <w:b/>
          <w:bCs/>
          <w:sz w:val="32"/>
          <w:szCs w:val="32"/>
        </w:rPr>
      </w:pPr>
    </w:p>
    <w:p>
      <w:pPr>
        <w:pStyle w:val="2"/>
        <w:rPr>
          <w:rFonts w:hint="eastAsia"/>
        </w:rPr>
      </w:pPr>
    </w:p>
    <w:p>
      <w:pPr>
        <w:jc w:val="center"/>
        <w:rPr>
          <w:rFonts w:ascii="宋体" w:hAnsi="宋体" w:cs="宋体"/>
          <w:b/>
          <w:bCs/>
          <w:sz w:val="32"/>
          <w:szCs w:val="32"/>
        </w:rPr>
      </w:pPr>
      <w:r>
        <w:rPr>
          <w:rFonts w:hint="eastAsia" w:ascii="宋体" w:hAnsi="宋体" w:cs="宋体"/>
          <w:b/>
          <w:bCs/>
          <w:sz w:val="32"/>
          <w:szCs w:val="32"/>
        </w:rPr>
        <w:t>财政拨款收入支出决算总表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公开04表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val="en-US" w:eastAsia="zh-CN"/>
        </w:rPr>
        <w:t>陕西省交通运输工会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10"/>
        <w:tblW w:w="8938" w:type="dxa"/>
        <w:tblInd w:w="0" w:type="dxa"/>
        <w:tblLayout w:type="fixed"/>
        <w:tblCellMar>
          <w:top w:w="15" w:type="dxa"/>
          <w:left w:w="15" w:type="dxa"/>
          <w:bottom w:w="15" w:type="dxa"/>
          <w:right w:w="15" w:type="dxa"/>
        </w:tblCellMar>
      </w:tblPr>
      <w:tblGrid>
        <w:gridCol w:w="2196"/>
        <w:gridCol w:w="589"/>
        <w:gridCol w:w="1993"/>
        <w:gridCol w:w="675"/>
        <w:gridCol w:w="1178"/>
        <w:gridCol w:w="1147"/>
        <w:gridCol w:w="1160"/>
      </w:tblGrid>
      <w:tr>
        <w:tblPrEx>
          <w:tblCellMar>
            <w:top w:w="15" w:type="dxa"/>
            <w:left w:w="15" w:type="dxa"/>
            <w:bottom w:w="15" w:type="dxa"/>
            <w:right w:w="15" w:type="dxa"/>
          </w:tblCellMar>
        </w:tblPrEx>
        <w:trPr>
          <w:trHeight w:val="281" w:hRule="atLeast"/>
        </w:trPr>
        <w:tc>
          <w:tcPr>
            <w:tcW w:w="27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收入</w:t>
            </w:r>
          </w:p>
        </w:tc>
        <w:tc>
          <w:tcPr>
            <w:tcW w:w="499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支出</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2"/>
                <w:sz w:val="18"/>
                <w:szCs w:val="18"/>
                <w:lang w:val="en-US" w:eastAsia="zh-CN" w:bidi="ar-SA"/>
              </w:rPr>
            </w:pPr>
          </w:p>
        </w:tc>
      </w:tr>
      <w:tr>
        <w:tblPrEx>
          <w:tblCellMar>
            <w:top w:w="15" w:type="dxa"/>
            <w:left w:w="15" w:type="dxa"/>
            <w:bottom w:w="15" w:type="dxa"/>
            <w:right w:w="15" w:type="dxa"/>
          </w:tblCellMar>
        </w:tblPrEx>
        <w:trPr>
          <w:trHeight w:val="658" w:hRule="atLeast"/>
        </w:trPr>
        <w:tc>
          <w:tcPr>
            <w:tcW w:w="21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    目</w:t>
            </w: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决算数</w:t>
            </w: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项目</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合计</w:t>
            </w:r>
          </w:p>
        </w:tc>
        <w:tc>
          <w:tcPr>
            <w:tcW w:w="11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lang w:val="en-US" w:eastAsia="zh-CN"/>
              </w:rPr>
              <w:t xml:space="preserve"> </w:t>
            </w:r>
            <w:r>
              <w:rPr>
                <w:rFonts w:hint="eastAsia" w:ascii="宋体" w:hAnsi="宋体" w:cs="宋体"/>
                <w:b/>
                <w:color w:val="000000"/>
                <w:kern w:val="0"/>
                <w:sz w:val="18"/>
                <w:szCs w:val="18"/>
              </w:rPr>
              <w:t>政府性基金</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lang w:eastAsia="zh-CN"/>
              </w:rPr>
            </w:pPr>
            <w:r>
              <w:rPr>
                <w:rFonts w:hint="eastAsia" w:ascii="宋体" w:hAnsi="宋体" w:cs="宋体"/>
                <w:b/>
                <w:color w:val="000000"/>
                <w:kern w:val="0"/>
                <w:sz w:val="18"/>
                <w:szCs w:val="18"/>
                <w:lang w:eastAsia="zh-CN"/>
              </w:rPr>
              <w:t>国有资本营</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lang w:eastAsia="zh-CN"/>
              </w:rPr>
              <w:t>预算财政拨款</w:t>
            </w:r>
          </w:p>
        </w:tc>
      </w:tr>
      <w:tr>
        <w:tblPrEx>
          <w:tblCellMar>
            <w:top w:w="15" w:type="dxa"/>
            <w:left w:w="15" w:type="dxa"/>
            <w:bottom w:w="15" w:type="dxa"/>
            <w:right w:w="15" w:type="dxa"/>
          </w:tblCellMar>
        </w:tblPrEx>
        <w:trPr>
          <w:trHeight w:val="496" w:hRule="atLeast"/>
        </w:trPr>
        <w:tc>
          <w:tcPr>
            <w:tcW w:w="2196"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一般公共预算财政拨款</w:t>
            </w: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lang w:val="en-US"/>
              </w:rPr>
            </w:pPr>
            <w:r>
              <w:rPr>
                <w:rFonts w:hint="eastAsia" w:ascii="宋体" w:hAnsi="宋体" w:cs="宋体"/>
                <w:i w:val="0"/>
                <w:color w:val="000000"/>
                <w:kern w:val="0"/>
                <w:sz w:val="18"/>
                <w:szCs w:val="18"/>
                <w:u w:val="none"/>
                <w:lang w:val="en-US" w:eastAsia="zh-CN" w:bidi="ar"/>
              </w:rPr>
              <w:t>94.63</w:t>
            </w: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一般公共服务支出</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94.63</w:t>
            </w: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94.63</w:t>
            </w:r>
          </w:p>
        </w:tc>
        <w:tc>
          <w:tcPr>
            <w:tcW w:w="11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28" w:hRule="atLeast"/>
        </w:trPr>
        <w:tc>
          <w:tcPr>
            <w:tcW w:w="2196"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rPr>
              <w:t>2.</w:t>
            </w:r>
            <w:r>
              <w:rPr>
                <w:rFonts w:hint="eastAsia" w:ascii="宋体" w:hAnsi="宋体" w:cs="宋体"/>
                <w:color w:val="000000"/>
                <w:kern w:val="0"/>
                <w:sz w:val="18"/>
                <w:szCs w:val="18"/>
              </w:rPr>
              <w:t>政府性基金预算财政拨款</w:t>
            </w:r>
          </w:p>
        </w:tc>
        <w:tc>
          <w:tcPr>
            <w:tcW w:w="5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外交支出</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6"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3.国有资本经营预算收入</w:t>
            </w:r>
          </w:p>
        </w:tc>
        <w:tc>
          <w:tcPr>
            <w:tcW w:w="5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3.</w:t>
            </w:r>
            <w:r>
              <w:rPr>
                <w:rFonts w:hint="eastAsia" w:ascii="宋体" w:hAnsi="宋体" w:cs="宋体"/>
                <w:color w:val="000000"/>
                <w:kern w:val="0"/>
                <w:sz w:val="18"/>
                <w:szCs w:val="18"/>
              </w:rPr>
              <w:t>国防支出</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8"/>
                <w:szCs w:val="18"/>
              </w:rPr>
            </w:pPr>
          </w:p>
        </w:tc>
        <w:tc>
          <w:tcPr>
            <w:tcW w:w="5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4.</w:t>
            </w:r>
            <w:r>
              <w:rPr>
                <w:rFonts w:hint="eastAsia" w:ascii="宋体" w:hAnsi="宋体" w:cs="宋体"/>
                <w:color w:val="000000"/>
                <w:kern w:val="0"/>
                <w:sz w:val="18"/>
                <w:szCs w:val="18"/>
              </w:rPr>
              <w:t>公共安全支出</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5.</w:t>
            </w:r>
            <w:r>
              <w:rPr>
                <w:rFonts w:hint="eastAsia" w:ascii="宋体" w:hAnsi="宋体" w:cs="宋体"/>
                <w:color w:val="000000"/>
                <w:kern w:val="0"/>
                <w:sz w:val="18"/>
                <w:szCs w:val="18"/>
              </w:rPr>
              <w:t>教育支出</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6.</w:t>
            </w:r>
            <w:r>
              <w:rPr>
                <w:rFonts w:hint="eastAsia" w:ascii="宋体" w:hAnsi="宋体" w:cs="宋体"/>
                <w:color w:val="000000"/>
                <w:kern w:val="0"/>
                <w:sz w:val="18"/>
                <w:szCs w:val="18"/>
              </w:rPr>
              <w:t>科学技术支出</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7.</w:t>
            </w:r>
            <w:r>
              <w:rPr>
                <w:rFonts w:hint="eastAsia" w:ascii="宋体" w:hAnsi="宋体" w:cs="宋体"/>
                <w:color w:val="000000"/>
                <w:spacing w:val="-11"/>
                <w:w w:val="98"/>
                <w:kern w:val="0"/>
                <w:sz w:val="18"/>
                <w:szCs w:val="18"/>
              </w:rPr>
              <w:t>文化</w:t>
            </w:r>
            <w:r>
              <w:rPr>
                <w:rFonts w:hint="eastAsia" w:ascii="宋体" w:hAnsi="宋体" w:cs="宋体"/>
                <w:color w:val="000000"/>
                <w:spacing w:val="-11"/>
                <w:w w:val="98"/>
                <w:kern w:val="0"/>
                <w:sz w:val="18"/>
                <w:szCs w:val="18"/>
                <w:lang w:eastAsia="zh-CN"/>
              </w:rPr>
              <w:t>旅游</w:t>
            </w:r>
            <w:r>
              <w:rPr>
                <w:rFonts w:hint="eastAsia" w:ascii="宋体" w:hAnsi="宋体" w:cs="宋体"/>
                <w:color w:val="000000"/>
                <w:spacing w:val="-11"/>
                <w:w w:val="98"/>
                <w:kern w:val="0"/>
                <w:sz w:val="18"/>
                <w:szCs w:val="18"/>
              </w:rPr>
              <w:t>体育与传媒支出</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8.</w:t>
            </w:r>
            <w:r>
              <w:rPr>
                <w:rFonts w:hint="eastAsia" w:ascii="宋体" w:hAnsi="宋体" w:cs="宋体"/>
                <w:color w:val="000000"/>
                <w:kern w:val="0"/>
                <w:sz w:val="18"/>
                <w:szCs w:val="18"/>
              </w:rPr>
              <w:t>社会保障和就业支出</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eastAsia="zh-CN"/>
              </w:rPr>
              <w:t>9.卫生健康</w:t>
            </w:r>
            <w:r>
              <w:rPr>
                <w:rFonts w:hint="eastAsia" w:ascii="宋体" w:hAnsi="宋体" w:cs="宋体"/>
                <w:color w:val="000000"/>
                <w:kern w:val="0"/>
                <w:sz w:val="18"/>
                <w:szCs w:val="18"/>
              </w:rPr>
              <w:t>支出</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lang w:val="en-US" w:eastAsia="zh-CN"/>
              </w:rPr>
              <w:t>10.</w:t>
            </w:r>
            <w:r>
              <w:rPr>
                <w:rFonts w:hint="eastAsia" w:ascii="宋体" w:hAnsi="宋体" w:cs="宋体"/>
                <w:color w:val="000000"/>
                <w:kern w:val="0"/>
                <w:sz w:val="18"/>
                <w:szCs w:val="18"/>
              </w:rPr>
              <w:t>节能环保支出</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1.</w:t>
            </w:r>
            <w:r>
              <w:rPr>
                <w:rFonts w:hint="eastAsia" w:ascii="宋体" w:hAnsi="宋体" w:cs="宋体"/>
                <w:color w:val="000000"/>
                <w:kern w:val="0"/>
                <w:sz w:val="18"/>
                <w:szCs w:val="18"/>
              </w:rPr>
              <w:t>城乡社区支出</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2.</w:t>
            </w:r>
            <w:r>
              <w:rPr>
                <w:rFonts w:hint="eastAsia" w:ascii="宋体" w:hAnsi="宋体" w:cs="宋体"/>
                <w:color w:val="000000"/>
                <w:kern w:val="0"/>
                <w:sz w:val="18"/>
                <w:szCs w:val="18"/>
              </w:rPr>
              <w:t>农林水支出</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3.</w:t>
            </w:r>
            <w:r>
              <w:rPr>
                <w:rFonts w:hint="eastAsia" w:ascii="宋体" w:hAnsi="宋体" w:cs="宋体"/>
                <w:color w:val="000000"/>
                <w:kern w:val="0"/>
                <w:sz w:val="18"/>
                <w:szCs w:val="18"/>
              </w:rPr>
              <w:t>交通运输支出</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4.</w:t>
            </w:r>
            <w:r>
              <w:rPr>
                <w:rFonts w:hint="eastAsia" w:ascii="宋体" w:hAnsi="宋体" w:cs="宋体"/>
                <w:color w:val="000000"/>
                <w:kern w:val="0"/>
                <w:sz w:val="18"/>
                <w:szCs w:val="18"/>
              </w:rPr>
              <w:t>资源勘探信息等支出</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5.</w:t>
            </w:r>
            <w:r>
              <w:rPr>
                <w:rFonts w:hint="eastAsia" w:ascii="宋体" w:hAnsi="宋体" w:cs="宋体"/>
                <w:color w:val="000000"/>
                <w:kern w:val="0"/>
                <w:sz w:val="18"/>
                <w:szCs w:val="18"/>
              </w:rPr>
              <w:t>商业服务业等支出</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6.</w:t>
            </w:r>
            <w:r>
              <w:rPr>
                <w:rFonts w:hint="eastAsia" w:ascii="宋体" w:hAnsi="宋体" w:cs="宋体"/>
                <w:color w:val="000000"/>
                <w:kern w:val="0"/>
                <w:sz w:val="18"/>
                <w:szCs w:val="18"/>
              </w:rPr>
              <w:t>金融支出</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7.</w:t>
            </w:r>
            <w:r>
              <w:rPr>
                <w:rFonts w:hint="eastAsia" w:ascii="宋体" w:hAnsi="宋体" w:cs="宋体"/>
                <w:color w:val="000000"/>
                <w:kern w:val="0"/>
                <w:sz w:val="18"/>
                <w:szCs w:val="18"/>
              </w:rPr>
              <w:t>援助其他地区支出</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8"/>
                <w:szCs w:val="18"/>
                <w:lang w:eastAsia="zh-CN"/>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eastAsia="zh-CN"/>
              </w:rPr>
              <w:t>18.自然资源海洋气象等支出</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9" w:hRule="atLeast"/>
        </w:trPr>
        <w:tc>
          <w:tcPr>
            <w:tcW w:w="21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1</w:t>
            </w:r>
            <w:r>
              <w:rPr>
                <w:rFonts w:hint="eastAsia" w:ascii="宋体" w:hAnsi="宋体" w:cs="宋体"/>
                <w:color w:val="000000"/>
                <w:kern w:val="0"/>
                <w:sz w:val="18"/>
                <w:szCs w:val="18"/>
                <w:lang w:eastAsia="zh-CN"/>
              </w:rPr>
              <w:t>9.</w:t>
            </w:r>
            <w:r>
              <w:rPr>
                <w:rFonts w:hint="eastAsia" w:ascii="宋体" w:hAnsi="宋体" w:cs="宋体"/>
                <w:color w:val="000000"/>
                <w:kern w:val="0"/>
                <w:sz w:val="18"/>
                <w:szCs w:val="18"/>
              </w:rPr>
              <w:t>住房保障支出</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20</w:t>
            </w:r>
            <w:r>
              <w:rPr>
                <w:rFonts w:hint="eastAsia" w:ascii="宋体" w:hAnsi="宋体" w:cs="宋体"/>
                <w:color w:val="000000"/>
                <w:kern w:val="0"/>
                <w:sz w:val="18"/>
                <w:szCs w:val="18"/>
                <w:lang w:val="en-US" w:eastAsia="zh-CN"/>
              </w:rPr>
              <w:t>.</w:t>
            </w:r>
            <w:r>
              <w:rPr>
                <w:rFonts w:hint="eastAsia" w:ascii="宋体" w:hAnsi="宋体" w:cs="宋体"/>
                <w:color w:val="000000"/>
                <w:kern w:val="0"/>
                <w:sz w:val="18"/>
                <w:szCs w:val="18"/>
              </w:rPr>
              <w:t>粮油物资储备支出</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90" w:hRule="atLeast"/>
        </w:trPr>
        <w:tc>
          <w:tcPr>
            <w:tcW w:w="21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8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kern w:val="0"/>
                <w:sz w:val="18"/>
                <w:szCs w:val="18"/>
              </w:rPr>
              <w:t>2</w:t>
            </w:r>
            <w:r>
              <w:rPr>
                <w:rFonts w:hint="eastAsia" w:ascii="宋体" w:hAnsi="宋体" w:cs="宋体"/>
                <w:color w:val="000000"/>
                <w:kern w:val="0"/>
                <w:sz w:val="18"/>
                <w:szCs w:val="18"/>
                <w:lang w:eastAsia="zh-CN"/>
              </w:rPr>
              <w:t>1.国有资本经营预算支出</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21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22.</w:t>
            </w:r>
            <w:r>
              <w:rPr>
                <w:rFonts w:hint="eastAsia" w:ascii="宋体" w:hAnsi="宋体" w:cs="宋体"/>
                <w:color w:val="000000"/>
                <w:kern w:val="0"/>
                <w:sz w:val="18"/>
                <w:szCs w:val="18"/>
                <w:lang w:eastAsia="zh-CN"/>
              </w:rPr>
              <w:t>灾害防治及应急管理支出</w:t>
            </w:r>
          </w:p>
        </w:tc>
        <w:tc>
          <w:tcPr>
            <w:tcW w:w="675"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p>
        </w:tc>
        <w:tc>
          <w:tcPr>
            <w:tcW w:w="1178"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1147"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c>
          <w:tcPr>
            <w:tcW w:w="1160"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r>
        <w:tblPrEx>
          <w:tblCellMar>
            <w:top w:w="15" w:type="dxa"/>
            <w:left w:w="15" w:type="dxa"/>
            <w:bottom w:w="15" w:type="dxa"/>
            <w:right w:w="15" w:type="dxa"/>
          </w:tblCellMar>
        </w:tblPrEx>
        <w:trPr>
          <w:trHeight w:val="339" w:hRule="atLeast"/>
        </w:trPr>
        <w:tc>
          <w:tcPr>
            <w:tcW w:w="21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58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23.</w:t>
            </w:r>
            <w:r>
              <w:rPr>
                <w:rFonts w:hint="eastAsia" w:ascii="宋体" w:hAnsi="宋体" w:cs="宋体"/>
                <w:color w:val="000000"/>
                <w:kern w:val="0"/>
                <w:sz w:val="18"/>
                <w:szCs w:val="18"/>
                <w:lang w:eastAsia="zh-CN"/>
              </w:rPr>
              <w:t>其他支出</w:t>
            </w:r>
          </w:p>
        </w:tc>
        <w:tc>
          <w:tcPr>
            <w:tcW w:w="675"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color w:val="000000"/>
                <w:kern w:val="0"/>
                <w:sz w:val="21"/>
                <w:szCs w:val="21"/>
                <w:lang w:val="en-US" w:eastAsia="zh-CN" w:bidi="ar-SA"/>
              </w:rPr>
            </w:pPr>
          </w:p>
        </w:tc>
        <w:tc>
          <w:tcPr>
            <w:tcW w:w="1178" w:type="dxa"/>
            <w:tcBorders>
              <w:top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1147"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c>
          <w:tcPr>
            <w:tcW w:w="1160"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bl>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 xml:space="preserve">财政拨款收入支出决算总表 </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公开04表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val="en-US" w:eastAsia="zh-CN"/>
        </w:rPr>
        <w:t>陕西省交通运输工会</w:t>
      </w:r>
      <w:r>
        <w:rPr>
          <w:rFonts w:hint="eastAsia" w:ascii="宋体" w:hAnsi="宋体" w:cs="宋体"/>
          <w:b/>
          <w:bCs/>
          <w:szCs w:val="21"/>
        </w:rPr>
        <w:t xml:space="preserve">                                      金额单位：万元</w:t>
      </w:r>
    </w:p>
    <w:tbl>
      <w:tblPr>
        <w:tblStyle w:val="10"/>
        <w:tblW w:w="8954" w:type="dxa"/>
        <w:tblInd w:w="0" w:type="dxa"/>
        <w:tblLayout w:type="fixed"/>
        <w:tblCellMar>
          <w:top w:w="15" w:type="dxa"/>
          <w:left w:w="15" w:type="dxa"/>
          <w:bottom w:w="15" w:type="dxa"/>
          <w:right w:w="15" w:type="dxa"/>
        </w:tblCellMar>
      </w:tblPr>
      <w:tblGrid>
        <w:gridCol w:w="1534"/>
        <w:gridCol w:w="958"/>
        <w:gridCol w:w="2319"/>
        <w:gridCol w:w="1037"/>
        <w:gridCol w:w="975"/>
        <w:gridCol w:w="1095"/>
        <w:gridCol w:w="1036"/>
      </w:tblGrid>
      <w:tr>
        <w:tblPrEx>
          <w:tblCellMar>
            <w:top w:w="15" w:type="dxa"/>
            <w:left w:w="15" w:type="dxa"/>
            <w:bottom w:w="15" w:type="dxa"/>
            <w:right w:w="15" w:type="dxa"/>
          </w:tblCellMar>
        </w:tblPrEx>
        <w:trPr>
          <w:trHeight w:val="607" w:hRule="atLeast"/>
        </w:trPr>
        <w:tc>
          <w:tcPr>
            <w:tcW w:w="24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收入</w:t>
            </w:r>
          </w:p>
        </w:tc>
        <w:tc>
          <w:tcPr>
            <w:tcW w:w="646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2"/>
                <w:sz w:val="18"/>
                <w:szCs w:val="18"/>
                <w:lang w:val="en-US" w:eastAsia="zh-CN" w:bidi="ar-SA"/>
              </w:rPr>
            </w:pPr>
            <w:r>
              <w:rPr>
                <w:rFonts w:hint="eastAsia" w:ascii="宋体" w:hAnsi="宋体" w:cs="宋体"/>
                <w:b/>
                <w:color w:val="000000"/>
                <w:kern w:val="2"/>
                <w:sz w:val="18"/>
                <w:szCs w:val="18"/>
                <w:lang w:val="en-US" w:eastAsia="zh-CN" w:bidi="ar-SA"/>
              </w:rPr>
              <w:t>支出</w:t>
            </w:r>
          </w:p>
        </w:tc>
      </w:tr>
      <w:tr>
        <w:tblPrEx>
          <w:tblCellMar>
            <w:top w:w="15" w:type="dxa"/>
            <w:left w:w="15" w:type="dxa"/>
            <w:bottom w:w="15" w:type="dxa"/>
            <w:right w:w="15" w:type="dxa"/>
          </w:tblCellMar>
        </w:tblPrEx>
        <w:trPr>
          <w:trHeight w:val="1020"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    目</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决算数</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项目</w:t>
            </w: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合计</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hint="eastAsia"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color w:val="000000"/>
                <w:kern w:val="0"/>
                <w:sz w:val="18"/>
                <w:szCs w:val="18"/>
                <w:lang w:eastAsia="zh-CN"/>
              </w:rPr>
            </w:pPr>
            <w:r>
              <w:rPr>
                <w:rFonts w:hint="eastAsia" w:ascii="宋体" w:hAnsi="宋体" w:cs="宋体"/>
                <w:b/>
                <w:color w:val="000000"/>
                <w:kern w:val="0"/>
                <w:sz w:val="18"/>
                <w:szCs w:val="18"/>
                <w:lang w:eastAsia="zh-CN"/>
              </w:rPr>
              <w:t>国有资本经营预算财政拨款</w:t>
            </w: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cs="宋体"/>
                <w:i w:val="0"/>
                <w:color w:val="000000"/>
                <w:kern w:val="0"/>
                <w:sz w:val="18"/>
                <w:szCs w:val="18"/>
                <w:u w:val="none"/>
                <w:lang w:val="en-US" w:eastAsia="zh-CN" w:bidi="ar"/>
              </w:rPr>
              <w:t>94.63</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10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kern w:val="0"/>
                <w:sz w:val="18"/>
                <w:szCs w:val="18"/>
              </w:rPr>
            </w:pPr>
            <w:r>
              <w:rPr>
                <w:rFonts w:hint="eastAsia" w:ascii="宋体" w:hAnsi="宋体" w:cs="宋体"/>
                <w:i w:val="0"/>
                <w:color w:val="000000"/>
                <w:kern w:val="0"/>
                <w:sz w:val="18"/>
                <w:szCs w:val="18"/>
                <w:u w:val="none"/>
                <w:lang w:val="en-US" w:eastAsia="zh-CN" w:bidi="ar"/>
              </w:rPr>
              <w:t>94.63</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kern w:val="0"/>
                <w:sz w:val="18"/>
                <w:szCs w:val="18"/>
              </w:rPr>
            </w:pPr>
            <w:r>
              <w:rPr>
                <w:rFonts w:hint="eastAsia" w:ascii="宋体" w:hAnsi="宋体" w:cs="宋体"/>
                <w:i w:val="0"/>
                <w:color w:val="000000"/>
                <w:kern w:val="0"/>
                <w:sz w:val="18"/>
                <w:szCs w:val="18"/>
                <w:u w:val="none"/>
                <w:lang w:val="en-US" w:eastAsia="zh-CN" w:bidi="ar"/>
              </w:rPr>
              <w:t>94.63</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年初财政拨款</w:t>
            </w: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结转和结余</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年末财政拨款</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结转和结余</w:t>
            </w: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一般公共预算</w:t>
            </w:r>
          </w:p>
          <w:p>
            <w:pPr>
              <w:widowControl/>
              <w:numPr>
                <w:ilvl w:val="0"/>
                <w:numId w:val="0"/>
              </w:numPr>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rPr>
              <w:t>政府性基金预算</w:t>
            </w:r>
          </w:p>
          <w:p>
            <w:pPr>
              <w:widowControl/>
              <w:numPr>
                <w:ilvl w:val="0"/>
                <w:numId w:val="0"/>
              </w:numPr>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360" w:leftChars="0" w:hanging="360" w:hangingChars="200"/>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国有资本经营</w:t>
            </w:r>
          </w:p>
          <w:p>
            <w:pPr>
              <w:widowControl/>
              <w:numPr>
                <w:ilvl w:val="0"/>
                <w:numId w:val="0"/>
              </w:numPr>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601"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收入总计</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kern w:val="0"/>
                <w:sz w:val="18"/>
                <w:szCs w:val="18"/>
              </w:rPr>
            </w:pPr>
            <w:r>
              <w:rPr>
                <w:rFonts w:hint="eastAsia" w:ascii="宋体" w:hAnsi="宋体" w:cs="宋体"/>
                <w:i w:val="0"/>
                <w:color w:val="000000"/>
                <w:kern w:val="0"/>
                <w:sz w:val="18"/>
                <w:szCs w:val="18"/>
                <w:u w:val="none"/>
                <w:lang w:val="en-US" w:eastAsia="zh-CN" w:bidi="ar"/>
              </w:rPr>
              <w:t>94.63</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支出总计</w:t>
            </w:r>
          </w:p>
        </w:tc>
        <w:tc>
          <w:tcPr>
            <w:tcW w:w="10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kern w:val="0"/>
                <w:sz w:val="18"/>
                <w:szCs w:val="18"/>
              </w:rPr>
            </w:pPr>
            <w:r>
              <w:rPr>
                <w:rFonts w:hint="eastAsia" w:ascii="宋体" w:hAnsi="宋体" w:cs="宋体"/>
                <w:i w:val="0"/>
                <w:color w:val="000000"/>
                <w:kern w:val="0"/>
                <w:sz w:val="18"/>
                <w:szCs w:val="18"/>
                <w:u w:val="none"/>
                <w:lang w:val="en-US" w:eastAsia="zh-CN" w:bidi="ar"/>
              </w:rPr>
              <w:t>94.63</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kern w:val="0"/>
                <w:sz w:val="18"/>
                <w:szCs w:val="18"/>
              </w:rPr>
            </w:pPr>
            <w:r>
              <w:rPr>
                <w:rFonts w:hint="eastAsia" w:ascii="宋体" w:hAnsi="宋体" w:cs="宋体"/>
                <w:i w:val="0"/>
                <w:color w:val="000000"/>
                <w:kern w:val="0"/>
                <w:sz w:val="18"/>
                <w:szCs w:val="18"/>
                <w:u w:val="none"/>
                <w:lang w:val="en-US" w:eastAsia="zh-CN" w:bidi="ar"/>
              </w:rPr>
              <w:t>94.63</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bl>
    <w:p>
      <w:pPr>
        <w:rPr>
          <w:rFonts w:ascii="宋体" w:hAnsi="宋体" w:cs="宋体"/>
          <w:szCs w:val="21"/>
        </w:rPr>
      </w:pPr>
    </w:p>
    <w:p>
      <w:pPr>
        <w:keepNext w:val="0"/>
        <w:keepLines w:val="0"/>
        <w:widowControl/>
        <w:suppressLineNumbers w:val="0"/>
        <w:jc w:val="left"/>
      </w:pPr>
      <w:r>
        <w:rPr>
          <w:rFonts w:hint="eastAsia" w:ascii="宋体" w:hAnsi="宋体" w:cs="宋体"/>
          <w:szCs w:val="21"/>
        </w:rPr>
        <w:t>注：本表反映部门本年度一般公共预算财政拨款和政府性基金预算财政拨款的总收支和年末结转结余情况</w:t>
      </w:r>
      <w:r>
        <w:rPr>
          <w:rFonts w:hint="eastAsia" w:ascii="宋体" w:hAnsi="宋体" w:cs="宋体"/>
          <w:szCs w:val="21"/>
          <w:lang w:eastAsia="zh-CN"/>
        </w:rPr>
        <w:t>。</w:t>
      </w:r>
      <w:r>
        <w:rPr>
          <w:rFonts w:hint="eastAsia" w:ascii="宋体" w:hAnsi="宋体" w:cs="宋体"/>
          <w:color w:val="000000"/>
          <w:kern w:val="0"/>
          <w:szCs w:val="21"/>
          <w:lang w:val="en-US" w:eastAsia="zh-CN"/>
        </w:rPr>
        <w:t>本表金额转换为万元时，因四舍五入可能存在尾差。</w:t>
      </w:r>
    </w:p>
    <w:p>
      <w:pPr>
        <w:rPr>
          <w:rFonts w:ascii="仿宋_GB2312" w:hAnsi="仿宋_GB2312" w:eastAsia="仿宋_GB2312" w:cs="仿宋_GB2312"/>
          <w:sz w:val="32"/>
          <w:szCs w:val="32"/>
        </w:rPr>
      </w:pPr>
    </w:p>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hint="eastAsia" w:ascii="宋体" w:hAnsi="宋体" w:cs="宋体"/>
          <w:b/>
          <w:bCs/>
          <w:sz w:val="32"/>
          <w:szCs w:val="32"/>
        </w:rPr>
      </w:pPr>
    </w:p>
    <w:p>
      <w:pPr>
        <w:pStyle w:val="2"/>
        <w:rPr>
          <w:rFonts w:hint="eastAsia"/>
        </w:rPr>
      </w:pPr>
    </w:p>
    <w:p>
      <w:pPr>
        <w:jc w:val="center"/>
        <w:rPr>
          <w:rFonts w:ascii="宋体" w:hAnsi="宋体" w:cs="宋体"/>
          <w:b/>
          <w:bCs/>
          <w:sz w:val="32"/>
          <w:szCs w:val="32"/>
        </w:rPr>
      </w:pPr>
      <w:r>
        <w:rPr>
          <w:rFonts w:hint="eastAsia" w:ascii="宋体" w:hAnsi="宋体" w:cs="宋体"/>
          <w:b/>
          <w:bCs/>
          <w:sz w:val="32"/>
          <w:szCs w:val="32"/>
        </w:rPr>
        <w:t>一般公共预算财政拨款支出决算表（按功能分类科目）</w:t>
      </w:r>
    </w:p>
    <w:p>
      <w:pPr>
        <w:rPr>
          <w:rFonts w:ascii="宋体" w:hAnsi="宋体" w:cs="宋体"/>
          <w:b/>
          <w:bCs/>
          <w:szCs w:val="21"/>
        </w:rPr>
      </w:pPr>
      <w:r>
        <w:rPr>
          <w:rFonts w:hint="eastAsia" w:ascii="宋体" w:hAnsi="宋体" w:cs="宋体"/>
          <w:b/>
          <w:bCs/>
          <w:szCs w:val="21"/>
        </w:rPr>
        <w:t xml:space="preserve">                                                                          公开05表</w:t>
      </w:r>
    </w:p>
    <w:p>
      <w:pPr>
        <w:jc w:val="left"/>
        <w:rPr>
          <w:rFonts w:ascii="宋体" w:hAnsi="宋体" w:cs="宋体"/>
          <w:b/>
          <w:bCs/>
          <w:szCs w:val="21"/>
        </w:rPr>
      </w:pPr>
      <w:r>
        <w:rPr>
          <w:rFonts w:hint="eastAsia" w:ascii="宋体" w:hAnsi="宋体" w:cs="宋体"/>
          <w:b/>
          <w:bCs/>
          <w:szCs w:val="21"/>
        </w:rPr>
        <w:t xml:space="preserve">编制部门： </w:t>
      </w:r>
      <w:r>
        <w:rPr>
          <w:rFonts w:hint="eastAsia" w:ascii="宋体" w:hAnsi="宋体" w:cs="宋体"/>
          <w:b/>
          <w:bCs/>
          <w:szCs w:val="21"/>
          <w:lang w:val="en-US" w:eastAsia="zh-CN"/>
        </w:rPr>
        <w:t>陕西省交通运输工会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10"/>
        <w:tblW w:w="8777" w:type="dxa"/>
        <w:tblInd w:w="0" w:type="dxa"/>
        <w:tblLayout w:type="fixed"/>
        <w:tblCellMar>
          <w:top w:w="15" w:type="dxa"/>
          <w:left w:w="15" w:type="dxa"/>
          <w:bottom w:w="15" w:type="dxa"/>
          <w:right w:w="15" w:type="dxa"/>
        </w:tblCellMar>
      </w:tblPr>
      <w:tblGrid>
        <w:gridCol w:w="994"/>
        <w:gridCol w:w="1860"/>
        <w:gridCol w:w="975"/>
        <w:gridCol w:w="975"/>
        <w:gridCol w:w="945"/>
        <w:gridCol w:w="958"/>
        <w:gridCol w:w="1020"/>
        <w:gridCol w:w="1050"/>
      </w:tblGrid>
      <w:tr>
        <w:tblPrEx>
          <w:tblCellMar>
            <w:top w:w="15" w:type="dxa"/>
            <w:left w:w="15" w:type="dxa"/>
            <w:bottom w:w="15" w:type="dxa"/>
            <w:right w:w="15" w:type="dxa"/>
          </w:tblCellMar>
        </w:tblPrEx>
        <w:trPr>
          <w:trHeight w:val="414" w:hRule="atLeast"/>
        </w:trPr>
        <w:tc>
          <w:tcPr>
            <w:tcW w:w="28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9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2878"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781"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14" w:hRule="atLeast"/>
        </w:trPr>
        <w:tc>
          <w:tcPr>
            <w:tcW w:w="28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94.63</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94.63</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83.92</w:t>
            </w: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10.71</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91"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201</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一般公共服务支出</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94.63</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20129</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群众团体事务</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94.63</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76"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2012901</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行政运行</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94.63</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r>
        <w:tblPrEx>
          <w:tblCellMar>
            <w:top w:w="15" w:type="dxa"/>
            <w:left w:w="15" w:type="dxa"/>
            <w:bottom w:w="15" w:type="dxa"/>
            <w:right w:w="15" w:type="dxa"/>
          </w:tblCellMar>
        </w:tblPrEx>
        <w:trPr>
          <w:trHeight w:val="414" w:hRule="atLeast"/>
        </w:trPr>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9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1"/>
                <w:szCs w:val="21"/>
              </w:rPr>
            </w:pPr>
          </w:p>
        </w:tc>
      </w:tr>
    </w:tbl>
    <w:p>
      <w:pPr>
        <w:keepNext w:val="0"/>
        <w:keepLines w:val="0"/>
        <w:widowControl/>
        <w:suppressLineNumbers w:val="0"/>
        <w:jc w:val="left"/>
      </w:pPr>
      <w:r>
        <w:rPr>
          <w:rFonts w:hint="eastAsia" w:ascii="宋体" w:hAnsi="宋体" w:cs="宋体"/>
          <w:szCs w:val="21"/>
        </w:rPr>
        <w:t>注：本表反映部门本年度一般公共预算财政拨款实际支出情况。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b/>
          <w:bCs/>
          <w:sz w:val="32"/>
          <w:szCs w:val="32"/>
        </w:rPr>
      </w:pPr>
      <w:r>
        <w:rPr>
          <w:rFonts w:hint="eastAsia" w:ascii="宋体" w:hAnsi="宋体" w:cs="宋体"/>
          <w:b/>
          <w:bCs/>
          <w:sz w:val="32"/>
          <w:szCs w:val="32"/>
        </w:rPr>
        <w:br w:type="page"/>
      </w:r>
    </w:p>
    <w:p>
      <w:pPr>
        <w:jc w:val="center"/>
        <w:rPr>
          <w:rFonts w:ascii="宋体" w:hAnsi="宋体" w:cs="宋体"/>
          <w:b/>
          <w:bCs/>
          <w:sz w:val="32"/>
          <w:szCs w:val="32"/>
        </w:rPr>
      </w:pPr>
      <w:r>
        <w:rPr>
          <w:rFonts w:hint="eastAsia" w:ascii="宋体" w:hAnsi="宋体" w:cs="宋体"/>
          <w:b/>
          <w:bCs/>
          <w:sz w:val="32"/>
          <w:szCs w:val="32"/>
        </w:rPr>
        <w:t>一般公共预算财政拨款基本支出决算表（按经济分类科目）</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公开06表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val="en-US" w:eastAsia="zh-CN"/>
        </w:rPr>
        <w:t>陕西省交通运输工会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10"/>
        <w:tblW w:w="8817" w:type="dxa"/>
        <w:tblInd w:w="0" w:type="dxa"/>
        <w:tblLayout w:type="fixed"/>
        <w:tblCellMar>
          <w:top w:w="15" w:type="dxa"/>
          <w:left w:w="15" w:type="dxa"/>
          <w:bottom w:w="15" w:type="dxa"/>
          <w:right w:w="15" w:type="dxa"/>
        </w:tblCellMar>
      </w:tblPr>
      <w:tblGrid>
        <w:gridCol w:w="1157"/>
        <w:gridCol w:w="2387"/>
        <w:gridCol w:w="1515"/>
        <w:gridCol w:w="1335"/>
        <w:gridCol w:w="1268"/>
        <w:gridCol w:w="1155"/>
      </w:tblGrid>
      <w:tr>
        <w:tblPrEx>
          <w:tblCellMar>
            <w:top w:w="15" w:type="dxa"/>
            <w:left w:w="15" w:type="dxa"/>
            <w:bottom w:w="15" w:type="dxa"/>
            <w:right w:w="15" w:type="dxa"/>
          </w:tblCellMar>
        </w:tblPrEx>
        <w:trPr>
          <w:trHeight w:val="434" w:hRule="atLeast"/>
        </w:trPr>
        <w:tc>
          <w:tcPr>
            <w:tcW w:w="354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5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2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6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经济分类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23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354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515"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 w:val="21"/>
                <w:szCs w:val="21"/>
              </w:rPr>
            </w:pPr>
            <w:r>
              <w:rPr>
                <w:rFonts w:hint="eastAsia" w:ascii="宋体" w:hAnsi="宋体" w:cs="宋体"/>
                <w:color w:val="000000"/>
                <w:sz w:val="21"/>
                <w:szCs w:val="21"/>
                <w:lang w:val="en-US" w:eastAsia="zh-CN"/>
              </w:rPr>
              <w:t>94.63</w:t>
            </w:r>
          </w:p>
        </w:tc>
        <w:tc>
          <w:tcPr>
            <w:tcW w:w="1335"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 w:val="21"/>
                <w:szCs w:val="21"/>
              </w:rPr>
            </w:pPr>
            <w:r>
              <w:rPr>
                <w:rFonts w:hint="eastAsia" w:ascii="宋体" w:hAnsi="宋体" w:cs="宋体"/>
                <w:color w:val="000000"/>
                <w:sz w:val="21"/>
                <w:szCs w:val="21"/>
                <w:lang w:val="en-US" w:eastAsia="zh-CN"/>
              </w:rPr>
              <w:t>83.92</w:t>
            </w:r>
          </w:p>
        </w:tc>
        <w:tc>
          <w:tcPr>
            <w:tcW w:w="1268"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color w:val="000000"/>
                <w:sz w:val="21"/>
                <w:szCs w:val="21"/>
              </w:rPr>
            </w:pPr>
            <w:r>
              <w:rPr>
                <w:rFonts w:hint="eastAsia" w:ascii="宋体" w:hAnsi="宋体" w:cs="宋体"/>
                <w:color w:val="000000"/>
                <w:sz w:val="21"/>
                <w:szCs w:val="21"/>
                <w:lang w:val="en-US" w:eastAsia="zh-CN"/>
              </w:rPr>
              <w:t>10.71</w:t>
            </w:r>
          </w:p>
        </w:tc>
        <w:tc>
          <w:tcPr>
            <w:tcW w:w="1155"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301</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工资福利支出</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cs="宋体"/>
                <w:color w:val="000000"/>
                <w:sz w:val="21"/>
                <w:szCs w:val="21"/>
                <w:lang w:val="en-US" w:eastAsia="zh-CN"/>
              </w:rPr>
              <w:t>83.92</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21"/>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30101</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基本工资</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30102</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津贴补贴</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30103</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奖金</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30108</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机关事业单位基本养老保险缴费</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30109</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职业年金缴费</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30110</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职工基本医疗保险缴费</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30111</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公务员医疗补助缴费</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30112</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其他社会保障缴费</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30113</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住房公积金</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30114</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医疗费</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302</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商品和服务支出</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10.71</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30201</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办公费</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30202</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印刷费</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30205</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水费</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30206</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电费</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30207</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邮电费</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30208</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取暖费</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30211</w:t>
            </w:r>
          </w:p>
        </w:tc>
        <w:tc>
          <w:tcPr>
            <w:tcW w:w="23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差旅费</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 w:val="21"/>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center"/>
        <w:rPr>
          <w:rFonts w:hint="eastAsia" w:ascii="宋体" w:hAnsi="宋体" w:cs="宋体"/>
          <w:b/>
          <w:bCs/>
          <w:sz w:val="32"/>
          <w:szCs w:val="32"/>
        </w:rPr>
      </w:pPr>
      <w:r>
        <w:rPr>
          <w:rFonts w:hint="eastAsia" w:ascii="宋体" w:hAnsi="宋体" w:cs="宋体"/>
          <w:szCs w:val="21"/>
        </w:rPr>
        <w:t>注：本表反映部门本年度一般公共预算财政拨款基本支出明细情况。</w:t>
      </w:r>
      <w:r>
        <w:rPr>
          <w:rFonts w:hint="eastAsia" w:ascii="宋体" w:hAnsi="宋体" w:cs="宋体"/>
          <w:color w:val="000000"/>
          <w:kern w:val="0"/>
          <w:szCs w:val="21"/>
          <w:lang w:val="en-US" w:eastAsia="zh-CN"/>
        </w:rPr>
        <w:t>本表金额转换为万元时，因四舍五入可能存在尾差。</w:t>
      </w:r>
      <w:r>
        <w:rPr>
          <w:rFonts w:hint="eastAsia" w:ascii="宋体" w:hAnsi="宋体" w:cs="宋体"/>
          <w:b/>
          <w:bCs/>
          <w:sz w:val="32"/>
          <w:szCs w:val="32"/>
        </w:rPr>
        <w:br w:type="page"/>
      </w:r>
      <w:r>
        <w:rPr>
          <w:rFonts w:hint="eastAsia" w:ascii="宋体" w:hAnsi="宋体" w:cs="宋体"/>
          <w:b/>
          <w:bCs/>
          <w:sz w:val="32"/>
          <w:szCs w:val="32"/>
        </w:rPr>
        <w:t>一般公共预算财政拨款“三公”经费及</w:t>
      </w:r>
    </w:p>
    <w:p>
      <w:pPr>
        <w:keepNext w:val="0"/>
        <w:keepLines w:val="0"/>
        <w:widowControl/>
        <w:suppressLineNumbers w:val="0"/>
        <w:jc w:val="center"/>
        <w:rPr>
          <w:rFonts w:ascii="宋体" w:hAnsi="宋体" w:cs="宋体"/>
          <w:b/>
          <w:bCs/>
          <w:sz w:val="32"/>
          <w:szCs w:val="32"/>
        </w:rPr>
      </w:pPr>
      <w:r>
        <w:rPr>
          <w:rFonts w:hint="eastAsia" w:ascii="宋体" w:hAnsi="宋体" w:cs="宋体"/>
          <w:b/>
          <w:bCs/>
          <w:sz w:val="32"/>
          <w:szCs w:val="32"/>
        </w:rPr>
        <w:t>会议费、培训费支出决算表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公开07表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val="en-US" w:eastAsia="zh-CN"/>
        </w:rPr>
        <w:t>陕西省交通运输工会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10"/>
        <w:tblW w:w="8858" w:type="dxa"/>
        <w:tblInd w:w="0" w:type="dxa"/>
        <w:tblLayout w:type="fixed"/>
        <w:tblCellMar>
          <w:top w:w="15" w:type="dxa"/>
          <w:left w:w="15" w:type="dxa"/>
          <w:bottom w:w="15" w:type="dxa"/>
          <w:right w:w="15" w:type="dxa"/>
        </w:tblCellMar>
      </w:tblPr>
      <w:tblGrid>
        <w:gridCol w:w="1079"/>
        <w:gridCol w:w="985"/>
        <w:gridCol w:w="1117"/>
        <w:gridCol w:w="878"/>
        <w:gridCol w:w="878"/>
        <w:gridCol w:w="998"/>
        <w:gridCol w:w="1189"/>
        <w:gridCol w:w="772"/>
        <w:gridCol w:w="962"/>
      </w:tblGrid>
      <w:tr>
        <w:tblPrEx>
          <w:tblCellMar>
            <w:top w:w="15" w:type="dxa"/>
            <w:left w:w="15" w:type="dxa"/>
            <w:bottom w:w="15" w:type="dxa"/>
            <w:right w:w="15" w:type="dxa"/>
          </w:tblCellMar>
        </w:tblPrEx>
        <w:trPr>
          <w:trHeight w:val="726"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604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一般公共预算财政拨款安排的“三公”经费</w:t>
            </w: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会议费</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培训费</w:t>
            </w: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1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因公出国（境）费用</w:t>
            </w:r>
          </w:p>
        </w:tc>
        <w:tc>
          <w:tcPr>
            <w:tcW w:w="8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公务</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接待费</w:t>
            </w:r>
          </w:p>
        </w:tc>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公务用车购置及运行维护费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53"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公务用车购置费</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5</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6</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7</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w:t>
            </w:r>
          </w:p>
        </w:tc>
      </w:tr>
      <w:tr>
        <w:tblPrEx>
          <w:tblCellMar>
            <w:top w:w="15" w:type="dxa"/>
            <w:left w:w="15" w:type="dxa"/>
            <w:bottom w:w="15" w:type="dxa"/>
            <w:right w:w="15" w:type="dxa"/>
          </w:tblCellMar>
        </w:tblPrEx>
        <w:trPr>
          <w:trHeight w:val="72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预算数</w:t>
            </w: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11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r>
      <w:tr>
        <w:tblPrEx>
          <w:tblCellMar>
            <w:top w:w="15" w:type="dxa"/>
            <w:left w:w="15" w:type="dxa"/>
            <w:bottom w:w="15" w:type="dxa"/>
            <w:right w:w="15" w:type="dxa"/>
          </w:tblCellMar>
        </w:tblPrEx>
        <w:trPr>
          <w:trHeight w:val="738"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11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9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c>
          <w:tcPr>
            <w:tcW w:w="9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b/>
                <w:color w:val="000000"/>
                <w:szCs w:val="21"/>
              </w:rPr>
            </w:pPr>
          </w:p>
        </w:tc>
      </w:tr>
    </w:tbl>
    <w:p>
      <w:pPr>
        <w:keepNext w:val="0"/>
        <w:keepLines w:val="0"/>
        <w:widowControl/>
        <w:suppressLineNumbers w:val="0"/>
        <w:jc w:val="left"/>
        <w:rPr>
          <w:rFonts w:hint="eastAsia" w:ascii="宋体" w:hAnsi="宋体" w:cs="宋体"/>
          <w:szCs w:val="21"/>
          <w:lang w:eastAsia="zh-CN"/>
        </w:rPr>
      </w:pPr>
      <w:r>
        <w:rPr>
          <w:rFonts w:hint="eastAsia" w:ascii="宋体" w:hAnsi="宋体" w:cs="宋体"/>
          <w:szCs w:val="21"/>
        </w:rPr>
        <w:t>注：本表反映部门本年度一般公共预算财政拨款“三公”经费、会议费、培训费的支出</w:t>
      </w:r>
      <w:r>
        <w:rPr>
          <w:rFonts w:hint="eastAsia" w:ascii="宋体" w:hAnsi="宋体" w:cs="宋体"/>
          <w:szCs w:val="21"/>
          <w:lang w:eastAsia="zh-CN"/>
        </w:rPr>
        <w:t>预决算情况</w:t>
      </w:r>
      <w:r>
        <w:rPr>
          <w:rFonts w:hint="eastAsia" w:ascii="宋体" w:hAnsi="宋体" w:cs="宋体"/>
          <w:szCs w:val="21"/>
        </w:rPr>
        <w:t>。</w:t>
      </w:r>
      <w:r>
        <w:rPr>
          <w:rFonts w:hint="eastAsia" w:ascii="宋体" w:hAnsi="宋体" w:cs="宋体"/>
          <w:szCs w:val="21"/>
          <w:lang w:eastAsia="zh-CN"/>
        </w:rPr>
        <w:t xml:space="preserve">其中，预算数为全年预算数，反映按规定程序调整后的预算数；决算数是包括当年一般公共预算财政拨款和以前年度结转资金安排的实际支出。 </w:t>
      </w:r>
      <w:r>
        <w:rPr>
          <w:rFonts w:hint="eastAsia" w:ascii="宋体" w:hAnsi="宋体" w:cs="宋体"/>
          <w:szCs w:val="21"/>
          <w:lang w:val="en-US" w:eastAsia="zh-CN"/>
        </w:rPr>
        <w:t>本表金额转换为万元时，因四舍五入可能存在尾差。</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pStyle w:val="2"/>
      </w:pPr>
    </w:p>
    <w:p>
      <w:pPr>
        <w:rPr>
          <w:rFonts w:ascii="宋体" w:hAnsi="宋体" w:cs="宋体"/>
          <w:szCs w:val="21"/>
        </w:rPr>
      </w:pPr>
    </w:p>
    <w:p>
      <w:pPr>
        <w:jc w:val="center"/>
        <w:rPr>
          <w:rFonts w:ascii="宋体" w:hAnsi="宋体" w:cs="宋体"/>
          <w:b/>
          <w:bCs/>
          <w:sz w:val="32"/>
          <w:szCs w:val="32"/>
        </w:rPr>
      </w:pPr>
      <w:r>
        <w:rPr>
          <w:rFonts w:hint="eastAsia" w:ascii="宋体" w:hAnsi="宋体" w:cs="宋体"/>
          <w:b/>
          <w:bCs/>
          <w:sz w:val="32"/>
          <w:szCs w:val="32"/>
        </w:rPr>
        <w:t>政府性基金预算财政拨款收入支出决算表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公开08表</w:t>
      </w:r>
    </w:p>
    <w:p>
      <w:pPr>
        <w:jc w:val="left"/>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val="en-US" w:eastAsia="zh-CN"/>
        </w:rPr>
        <w:t>陕西省交通运输工会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10"/>
        <w:tblW w:w="8877" w:type="dxa"/>
        <w:tblInd w:w="0" w:type="dxa"/>
        <w:tblLayout w:type="fixed"/>
        <w:tblCellMar>
          <w:top w:w="15" w:type="dxa"/>
          <w:left w:w="15" w:type="dxa"/>
          <w:bottom w:w="15" w:type="dxa"/>
          <w:right w:w="15" w:type="dxa"/>
        </w:tblCellMar>
      </w:tblPr>
      <w:tblGrid>
        <w:gridCol w:w="1023"/>
        <w:gridCol w:w="1341"/>
        <w:gridCol w:w="1049"/>
        <w:gridCol w:w="990"/>
        <w:gridCol w:w="930"/>
        <w:gridCol w:w="1049"/>
        <w:gridCol w:w="1024"/>
        <w:gridCol w:w="1471"/>
      </w:tblGrid>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年初结转和结余</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w:t>
            </w:r>
          </w:p>
        </w:tc>
        <w:tc>
          <w:tcPr>
            <w:tcW w:w="3003"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c>
          <w:tcPr>
            <w:tcW w:w="14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年末结转</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和结余</w:t>
            </w:r>
          </w:p>
        </w:tc>
      </w:tr>
      <w:tr>
        <w:tblPrEx>
          <w:tblCellMar>
            <w:top w:w="15" w:type="dxa"/>
            <w:left w:w="15" w:type="dxa"/>
            <w:bottom w:w="15" w:type="dxa"/>
            <w:right w:w="15" w:type="dxa"/>
          </w:tblCellMar>
        </w:tblPrEx>
        <w:trPr>
          <w:trHeight w:val="88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049"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keepNext w:val="0"/>
        <w:keepLines w:val="0"/>
        <w:widowControl/>
        <w:suppressLineNumbers w:val="0"/>
        <w:jc w:val="left"/>
      </w:pPr>
      <w:r>
        <w:rPr>
          <w:rFonts w:hint="eastAsia" w:ascii="宋体" w:hAnsi="宋体" w:cs="宋体"/>
          <w:szCs w:val="21"/>
        </w:rPr>
        <w:t>注：本表反映部门本年度政府性基金预算财政拨款收入</w:t>
      </w:r>
      <w:r>
        <w:rPr>
          <w:rFonts w:hint="eastAsia" w:ascii="宋体" w:hAnsi="宋体" w:cs="宋体"/>
          <w:szCs w:val="21"/>
          <w:lang w:eastAsia="zh-CN"/>
        </w:rPr>
        <w:t>、</w:t>
      </w:r>
      <w:r>
        <w:rPr>
          <w:rFonts w:hint="eastAsia" w:ascii="宋体" w:hAnsi="宋体" w:cs="宋体"/>
          <w:szCs w:val="21"/>
        </w:rPr>
        <w:t>支出及结转和结余情况。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szCs w:val="21"/>
        </w:rPr>
      </w:pPr>
    </w:p>
    <w:p>
      <w:pPr>
        <w:jc w:val="center"/>
        <w:rPr>
          <w:rFonts w:hint="eastAsia" w:ascii="黑体" w:hAnsi="宋体" w:eastAsia="黑体"/>
          <w:color w:val="000000"/>
          <w:kern w:val="0"/>
          <w:sz w:val="44"/>
          <w:szCs w:val="44"/>
          <w:lang w:bidi="ar"/>
        </w:rPr>
      </w:pPr>
      <w:r>
        <w:rPr>
          <w:rFonts w:hint="eastAsia" w:ascii="黑体" w:hAnsi="宋体" w:eastAsia="黑体"/>
          <w:color w:val="000000"/>
          <w:kern w:val="0"/>
          <w:sz w:val="44"/>
          <w:szCs w:val="44"/>
          <w:lang w:bidi="ar"/>
        </w:rPr>
        <w:br w:type="page"/>
      </w:r>
    </w:p>
    <w:p>
      <w:pPr>
        <w:jc w:val="center"/>
        <w:rPr>
          <w:rFonts w:ascii="宋体" w:hAnsi="宋体" w:cs="宋体"/>
          <w:b/>
          <w:bCs/>
          <w:sz w:val="32"/>
          <w:szCs w:val="32"/>
        </w:rPr>
      </w:pPr>
      <w:r>
        <w:rPr>
          <w:rFonts w:hint="eastAsia" w:ascii="宋体" w:hAnsi="宋体" w:cs="宋体"/>
          <w:b/>
          <w:bCs/>
          <w:sz w:val="32"/>
          <w:szCs w:val="32"/>
          <w:lang w:eastAsia="zh-CN"/>
        </w:rPr>
        <w:t>国有资本经营</w:t>
      </w:r>
      <w:r>
        <w:rPr>
          <w:rFonts w:hint="eastAsia" w:ascii="宋体" w:hAnsi="宋体" w:cs="宋体"/>
          <w:b/>
          <w:bCs/>
          <w:sz w:val="32"/>
          <w:szCs w:val="32"/>
        </w:rPr>
        <w:t>预算财政拨款支出决算表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w:t>
      </w:r>
      <w:r>
        <w:rPr>
          <w:rFonts w:hint="eastAsia" w:ascii="宋体" w:hAnsi="宋体" w:cs="宋体"/>
          <w:b/>
          <w:bCs/>
          <w:szCs w:val="21"/>
          <w:lang w:val="en-US" w:eastAsia="zh-CN"/>
        </w:rPr>
        <w:t>9</w:t>
      </w:r>
      <w:r>
        <w:rPr>
          <w:rFonts w:hint="eastAsia" w:ascii="宋体" w:hAnsi="宋体" w:cs="宋体"/>
          <w:b/>
          <w:bCs/>
          <w:szCs w:val="21"/>
        </w:rPr>
        <w:t>表</w:t>
      </w:r>
    </w:p>
    <w:p>
      <w:pPr>
        <w:jc w:val="left"/>
        <w:rPr>
          <w:rFonts w:ascii="宋体" w:hAnsi="宋体" w:cs="宋体"/>
          <w:b/>
          <w:bCs/>
          <w:szCs w:val="21"/>
        </w:rPr>
      </w:pPr>
      <w:r>
        <w:rPr>
          <w:rFonts w:hint="eastAsia" w:ascii="宋体" w:hAnsi="宋体" w:cs="宋体"/>
          <w:b/>
          <w:bCs/>
          <w:szCs w:val="21"/>
        </w:rPr>
        <w:t xml:space="preserve">编制部门： </w:t>
      </w:r>
      <w:r>
        <w:rPr>
          <w:rFonts w:hint="eastAsia" w:ascii="宋体" w:hAnsi="宋体" w:cs="宋体"/>
          <w:b/>
          <w:bCs/>
          <w:szCs w:val="21"/>
          <w:lang w:val="en-US" w:eastAsia="zh-CN"/>
        </w:rPr>
        <w:t>陕西省交通运输工会</w:t>
      </w:r>
      <w:r>
        <w:rPr>
          <w:rFonts w:hint="eastAsia" w:ascii="宋体" w:hAnsi="宋体" w:cs="宋体"/>
          <w:b/>
          <w:bCs/>
          <w:szCs w:val="21"/>
        </w:rPr>
        <w:t xml:space="preserve">                 </w:t>
      </w:r>
      <w:r>
        <w:rPr>
          <w:rFonts w:hint="eastAsia" w:ascii="宋体" w:hAnsi="宋体" w:cs="宋体"/>
          <w:b/>
          <w:bCs/>
          <w:szCs w:val="21"/>
          <w:lang w:val="en-US" w:eastAsia="zh-CN"/>
        </w:rPr>
        <w:t xml:space="preserve">  </w:t>
      </w:r>
      <w:r>
        <w:rPr>
          <w:rFonts w:hint="eastAsia" w:ascii="宋体" w:hAnsi="宋体" w:cs="宋体"/>
          <w:b/>
          <w:bCs/>
          <w:szCs w:val="21"/>
        </w:rPr>
        <w:t xml:space="preserve">                   金额单位：万元</w:t>
      </w:r>
    </w:p>
    <w:tbl>
      <w:tblPr>
        <w:tblStyle w:val="10"/>
        <w:tblW w:w="8873" w:type="dxa"/>
        <w:tblInd w:w="0" w:type="dxa"/>
        <w:tblLayout w:type="fixed"/>
        <w:tblCellMar>
          <w:top w:w="15" w:type="dxa"/>
          <w:left w:w="15" w:type="dxa"/>
          <w:bottom w:w="15" w:type="dxa"/>
          <w:right w:w="15" w:type="dxa"/>
        </w:tblCellMar>
      </w:tblPr>
      <w:tblGrid>
        <w:gridCol w:w="1672"/>
        <w:gridCol w:w="1870"/>
        <w:gridCol w:w="1523"/>
        <w:gridCol w:w="1881"/>
        <w:gridCol w:w="1927"/>
      </w:tblGrid>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5331"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r>
      <w:tr>
        <w:tblPrEx>
          <w:tblCellMar>
            <w:top w:w="15" w:type="dxa"/>
            <w:left w:w="15" w:type="dxa"/>
            <w:bottom w:w="15" w:type="dxa"/>
            <w:right w:w="15" w:type="dxa"/>
          </w:tblCellMar>
        </w:tblPrEx>
        <w:trPr>
          <w:trHeight w:val="863"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r>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5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30"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bl>
    <w:p>
      <w:pPr>
        <w:keepNext w:val="0"/>
        <w:keepLines w:val="0"/>
        <w:widowControl/>
        <w:suppressLineNumbers w:val="0"/>
        <w:jc w:val="left"/>
        <w:rPr>
          <w:rFonts w:hint="eastAsia" w:ascii="宋体" w:hAnsi="宋体" w:cs="宋体"/>
          <w:szCs w:val="21"/>
        </w:rPr>
      </w:pPr>
    </w:p>
    <w:p>
      <w:pPr>
        <w:keepNext w:val="0"/>
        <w:keepLines w:val="0"/>
        <w:widowControl/>
        <w:suppressLineNumbers w:val="0"/>
        <w:jc w:val="left"/>
      </w:pPr>
      <w:r>
        <w:rPr>
          <w:rFonts w:hint="eastAsia" w:ascii="宋体" w:hAnsi="宋体" w:cs="宋体"/>
          <w:szCs w:val="21"/>
        </w:rPr>
        <w:t>注：本表反映部门本年度</w:t>
      </w:r>
      <w:r>
        <w:rPr>
          <w:rFonts w:hint="eastAsia" w:ascii="宋体" w:hAnsi="宋体" w:cs="宋体"/>
          <w:szCs w:val="21"/>
          <w:lang w:eastAsia="zh-CN"/>
        </w:rPr>
        <w:t>国有资本经营</w:t>
      </w:r>
      <w:r>
        <w:rPr>
          <w:rFonts w:hint="eastAsia" w:ascii="宋体" w:hAnsi="宋体" w:cs="宋体"/>
          <w:szCs w:val="21"/>
        </w:rPr>
        <w:t>预算财政拨款支出情况。</w:t>
      </w:r>
      <w:r>
        <w:rPr>
          <w:rFonts w:hint="eastAsia" w:ascii="宋体" w:hAnsi="宋体" w:cs="宋体"/>
          <w:color w:val="000000"/>
          <w:kern w:val="0"/>
          <w:szCs w:val="21"/>
          <w:lang w:val="en-US" w:eastAsia="zh-CN"/>
        </w:rPr>
        <w:t>本表金额转换为万元时，因四舍五入可能存在尾差。</w:t>
      </w:r>
    </w:p>
    <w:p>
      <w:pPr>
        <w:rPr>
          <w:rFonts w:ascii="宋体" w:hAnsi="宋体" w:cs="宋体"/>
          <w:szCs w:val="21"/>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kern w:val="0"/>
          <w:sz w:val="44"/>
          <w:szCs w:val="44"/>
          <w:lang w:bidi="ar"/>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000000"/>
          <w:kern w:val="0"/>
          <w:sz w:val="44"/>
          <w:szCs w:val="44"/>
          <w:lang w:eastAsia="zh-CN" w:bidi="ar"/>
        </w:rPr>
      </w:pPr>
      <w:r>
        <w:rPr>
          <w:rFonts w:hint="eastAsia" w:ascii="方正小标宋简体" w:hAnsi="方正小标宋简体" w:eastAsia="方正小标宋简体" w:cs="方正小标宋简体"/>
          <w:color w:val="000000"/>
          <w:kern w:val="0"/>
          <w:sz w:val="44"/>
          <w:szCs w:val="44"/>
          <w:lang w:bidi="ar"/>
        </w:rPr>
        <w:t xml:space="preserve">第三部分 </w:t>
      </w:r>
      <w:r>
        <w:rPr>
          <w:rFonts w:hint="eastAsia" w:ascii="方正小标宋简体" w:hAnsi="方正小标宋简体" w:eastAsia="方正小标宋简体" w:cs="方正小标宋简体"/>
          <w:color w:val="000000"/>
          <w:kern w:val="0"/>
          <w:sz w:val="44"/>
          <w:szCs w:val="44"/>
          <w:lang w:eastAsia="zh-CN" w:bidi="ar"/>
        </w:rPr>
        <w:t>2020</w:t>
      </w:r>
      <w:r>
        <w:rPr>
          <w:rFonts w:hint="eastAsia" w:ascii="方正小标宋简体" w:hAnsi="方正小标宋简体" w:eastAsia="方正小标宋简体" w:cs="方正小标宋简体"/>
          <w:color w:val="000000"/>
          <w:kern w:val="0"/>
          <w:sz w:val="44"/>
          <w:szCs w:val="44"/>
          <w:lang w:bidi="ar"/>
        </w:rPr>
        <w:t xml:space="preserve"> 年部门决算情况</w:t>
      </w:r>
      <w:r>
        <w:rPr>
          <w:rFonts w:hint="eastAsia" w:ascii="方正小标宋简体" w:hAnsi="方正小标宋简体" w:eastAsia="方正小标宋简体" w:cs="方正小标宋简体"/>
          <w:color w:val="000000"/>
          <w:kern w:val="0"/>
          <w:sz w:val="44"/>
          <w:szCs w:val="44"/>
          <w:lang w:eastAsia="zh-CN" w:bidi="ar"/>
        </w:rPr>
        <w:t>说明</w:t>
      </w:r>
    </w:p>
    <w:p>
      <w:pPr>
        <w:keepNext w:val="0"/>
        <w:keepLines w:val="0"/>
        <w:pageBreakBefore w:val="0"/>
        <w:widowControl/>
        <w:kinsoku/>
        <w:wordWrap/>
        <w:overflowPunct/>
        <w:topLinePunct w:val="0"/>
        <w:autoSpaceDE/>
        <w:autoSpaceDN/>
        <w:bidi w:val="0"/>
        <w:spacing w:line="560" w:lineRule="exact"/>
        <w:textAlignment w:val="auto"/>
        <w:rPr>
          <w:rFonts w:ascii="黑体" w:hAnsi="宋体" w:eastAsia="黑体"/>
          <w:color w:val="000000"/>
          <w:kern w:val="0"/>
          <w:sz w:val="44"/>
          <w:szCs w:val="44"/>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一、收入支出决算总体情况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 w:eastAsia="仿宋_GB2312" w:cs="仿宋"/>
          <w:color w:val="000000"/>
          <w:sz w:val="32"/>
          <w:szCs w:val="32"/>
          <w:highlight w:val="none"/>
          <w:lang w:val="en-US" w:eastAsia="zh-CN"/>
        </w:rPr>
      </w:pPr>
      <w:r>
        <w:rPr>
          <w:rFonts w:hint="eastAsia" w:ascii="仿宋_GB2312" w:hAnsi="仿宋_GB2312" w:eastAsia="仿宋_GB2312" w:cs="仿宋_GB2312"/>
          <w:color w:val="000000"/>
          <w:sz w:val="32"/>
          <w:highlight w:val="none"/>
          <w:lang w:val="en-US" w:eastAsia="zh-CN"/>
        </w:rPr>
        <w:t>2019年度收入总计72.65万元，</w:t>
      </w:r>
      <w:r>
        <w:rPr>
          <w:rFonts w:hint="eastAsia" w:ascii="仿宋_GB2312" w:hAnsi="仿宋_GB2312" w:eastAsia="仿宋_GB2312" w:cs="仿宋_GB2312"/>
          <w:color w:val="000000"/>
          <w:sz w:val="32"/>
          <w:highlight w:val="none"/>
        </w:rPr>
        <w:t>20</w:t>
      </w:r>
      <w:r>
        <w:rPr>
          <w:rFonts w:hint="eastAsia" w:ascii="仿宋_GB2312" w:hAnsi="仿宋_GB2312" w:eastAsia="仿宋_GB2312" w:cs="仿宋_GB2312"/>
          <w:color w:val="000000"/>
          <w:sz w:val="32"/>
          <w:highlight w:val="none"/>
          <w:lang w:val="en-US" w:eastAsia="zh-CN"/>
        </w:rPr>
        <w:t>20</w:t>
      </w:r>
      <w:r>
        <w:rPr>
          <w:rFonts w:hint="eastAsia" w:ascii="仿宋_GB2312" w:hAnsi="仿宋_GB2312" w:eastAsia="仿宋_GB2312" w:cs="仿宋_GB2312"/>
          <w:color w:val="000000"/>
          <w:sz w:val="32"/>
          <w:highlight w:val="none"/>
        </w:rPr>
        <w:t>年</w:t>
      </w:r>
      <w:r>
        <w:rPr>
          <w:rFonts w:hint="eastAsia" w:ascii="仿宋_GB2312" w:hAnsi="仿宋_GB2312" w:eastAsia="仿宋_GB2312" w:cs="仿宋_GB2312"/>
          <w:color w:val="000000"/>
          <w:sz w:val="32"/>
          <w:highlight w:val="none"/>
          <w:lang w:val="en-US" w:eastAsia="zh-CN"/>
        </w:rPr>
        <w:t>度收入总计94.63万元，与2019年度相比，2020年财政决算收入增加21.98万元，增加了30.25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highlight w:val="none"/>
        </w:rPr>
        <w:t>主要原因是</w:t>
      </w:r>
      <w:r>
        <w:rPr>
          <w:rFonts w:hint="eastAsia" w:ascii="仿宋_GB2312" w:hAnsi="仿宋" w:eastAsia="仿宋_GB2312" w:cs="仿宋"/>
          <w:color w:val="000000"/>
          <w:sz w:val="32"/>
          <w:szCs w:val="32"/>
          <w:highlight w:val="none"/>
          <w:lang w:val="en-US" w:eastAsia="zh-CN"/>
        </w:rPr>
        <w:t>省交通运输工会2020年人员经费和公用经费收入均有增加。</w:t>
      </w:r>
    </w:p>
    <w:p>
      <w:pPr>
        <w:spacing w:beforeLines="0" w:afterLines="0"/>
        <w:ind w:firstLine="640" w:firstLineChars="200"/>
        <w:jc w:val="center"/>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图1：收入变动情况   (单位：万元)</w:t>
      </w:r>
    </w:p>
    <w:p>
      <w:pPr>
        <w:pStyle w:val="4"/>
        <w:jc w:val="center"/>
        <w:rPr>
          <w:rFonts w:hint="eastAsia"/>
          <w:lang w:val="en-US" w:eastAsia="zh-CN"/>
        </w:rPr>
      </w:pPr>
      <w:r>
        <w:rPr>
          <w:rFonts w:hint="eastAsia"/>
          <w:lang w:val="en-US" w:eastAsia="zh-CN"/>
        </w:rPr>
        <w:drawing>
          <wp:inline distT="0" distB="0" distL="114300" distR="114300">
            <wp:extent cx="5108575" cy="1641475"/>
            <wp:effectExtent l="4445" t="4445" r="11430" b="1143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4"/>
        <w:rPr>
          <w:rFonts w:hint="eastAsia"/>
          <w:lang w:val="en-US" w:eastAsia="zh-CN"/>
        </w:rPr>
      </w:pPr>
    </w:p>
    <w:p>
      <w:pPr>
        <w:ind w:firstLine="709"/>
        <w:rPr>
          <w:rFonts w:hint="eastAsia"/>
          <w:lang w:val="en-US" w:eastAsia="zh-CN"/>
        </w:rPr>
      </w:pPr>
      <w:r>
        <w:rPr>
          <w:rFonts w:hint="eastAsia" w:ascii="仿宋_GB2312" w:hAnsi="仿宋_GB2312" w:eastAsia="仿宋_GB2312" w:cs="仿宋_GB2312"/>
          <w:color w:val="000000"/>
          <w:sz w:val="32"/>
          <w:highlight w:val="none"/>
          <w:lang w:val="en-US" w:eastAsia="zh-CN"/>
        </w:rPr>
        <w:t>2019年度总支出为72.65万元，</w:t>
      </w:r>
      <w:r>
        <w:rPr>
          <w:rFonts w:hint="eastAsia" w:ascii="仿宋_GB2312" w:hAnsi="仿宋_GB2312" w:eastAsia="仿宋_GB2312" w:cs="仿宋_GB2312"/>
          <w:color w:val="000000"/>
          <w:sz w:val="32"/>
          <w:highlight w:val="none"/>
        </w:rPr>
        <w:t>20</w:t>
      </w:r>
      <w:r>
        <w:rPr>
          <w:rFonts w:hint="eastAsia" w:ascii="仿宋_GB2312" w:hAnsi="仿宋_GB2312" w:eastAsia="仿宋_GB2312" w:cs="仿宋_GB2312"/>
          <w:color w:val="000000"/>
          <w:sz w:val="32"/>
          <w:highlight w:val="none"/>
          <w:lang w:val="en-US" w:eastAsia="zh-CN"/>
        </w:rPr>
        <w:t>20</w:t>
      </w:r>
      <w:r>
        <w:rPr>
          <w:rFonts w:hint="eastAsia" w:ascii="仿宋_GB2312" w:hAnsi="仿宋_GB2312" w:eastAsia="仿宋_GB2312" w:cs="仿宋_GB2312"/>
          <w:color w:val="000000"/>
          <w:sz w:val="32"/>
          <w:highlight w:val="none"/>
        </w:rPr>
        <w:t>年</w:t>
      </w:r>
      <w:r>
        <w:rPr>
          <w:rFonts w:hint="eastAsia" w:ascii="仿宋_GB2312" w:hAnsi="仿宋_GB2312" w:eastAsia="仿宋_GB2312" w:cs="仿宋_GB2312"/>
          <w:color w:val="000000"/>
          <w:sz w:val="32"/>
          <w:highlight w:val="none"/>
          <w:lang w:val="en-US" w:eastAsia="zh-CN"/>
        </w:rPr>
        <w:t>度支出总计94.63</w:t>
      </w:r>
      <w:r>
        <w:rPr>
          <w:rFonts w:hint="eastAsia" w:ascii="仿宋_GB2312" w:hAnsi="仿宋_GB2312" w:eastAsia="仿宋_GB2312" w:cs="仿宋_GB2312"/>
          <w:color w:val="000000"/>
          <w:sz w:val="32"/>
          <w:highlight w:val="none"/>
        </w:rPr>
        <w:t>万元。与201</w:t>
      </w:r>
      <w:r>
        <w:rPr>
          <w:rFonts w:hint="eastAsia" w:ascii="仿宋_GB2312" w:hAnsi="仿宋_GB2312" w:eastAsia="仿宋_GB2312" w:cs="仿宋_GB2312"/>
          <w:color w:val="000000"/>
          <w:sz w:val="32"/>
          <w:highlight w:val="none"/>
          <w:lang w:val="en-US" w:eastAsia="zh-CN"/>
        </w:rPr>
        <w:t>9</w:t>
      </w:r>
      <w:r>
        <w:rPr>
          <w:rFonts w:hint="eastAsia" w:ascii="仿宋_GB2312" w:hAnsi="仿宋_GB2312" w:eastAsia="仿宋_GB2312" w:cs="仿宋_GB2312"/>
          <w:color w:val="000000"/>
          <w:sz w:val="32"/>
          <w:highlight w:val="none"/>
        </w:rPr>
        <w:t>年</w:t>
      </w:r>
      <w:r>
        <w:rPr>
          <w:rFonts w:hint="eastAsia" w:ascii="仿宋_GB2312" w:hAnsi="仿宋_GB2312" w:eastAsia="仿宋_GB2312" w:cs="仿宋_GB2312"/>
          <w:color w:val="000000"/>
          <w:sz w:val="32"/>
          <w:highlight w:val="none"/>
          <w:lang w:val="en-US" w:eastAsia="zh-CN"/>
        </w:rPr>
        <w:t>度</w:t>
      </w:r>
      <w:r>
        <w:rPr>
          <w:rFonts w:hint="eastAsia" w:ascii="仿宋_GB2312" w:hAnsi="仿宋_GB2312" w:eastAsia="仿宋_GB2312" w:cs="仿宋_GB2312"/>
          <w:color w:val="000000"/>
          <w:sz w:val="32"/>
          <w:highlight w:val="none"/>
        </w:rPr>
        <w:t>相比，</w:t>
      </w:r>
      <w:r>
        <w:rPr>
          <w:rFonts w:hint="eastAsia" w:ascii="仿宋_GB2312" w:hAnsi="仿宋_GB2312" w:eastAsia="仿宋_GB2312" w:cs="仿宋_GB2312"/>
          <w:color w:val="000000"/>
          <w:sz w:val="32"/>
          <w:highlight w:val="none"/>
          <w:lang w:val="en-US" w:eastAsia="zh-CN"/>
        </w:rPr>
        <w:t>2020年支出增加21.98</w:t>
      </w:r>
      <w:r>
        <w:rPr>
          <w:rFonts w:hint="eastAsia" w:ascii="仿宋_GB2312" w:hAnsi="仿宋_GB2312" w:eastAsia="仿宋_GB2312" w:cs="仿宋_GB2312"/>
          <w:color w:val="000000"/>
          <w:sz w:val="32"/>
          <w:highlight w:val="none"/>
        </w:rPr>
        <w:t>万元，</w:t>
      </w:r>
      <w:r>
        <w:rPr>
          <w:rFonts w:hint="eastAsia" w:ascii="仿宋_GB2312" w:hAnsi="仿宋_GB2312" w:eastAsia="仿宋_GB2312" w:cs="仿宋_GB2312"/>
          <w:color w:val="000000"/>
          <w:sz w:val="32"/>
          <w:highlight w:val="none"/>
          <w:lang w:val="en-US" w:eastAsia="zh-CN"/>
        </w:rPr>
        <w:t>增加了30.25</w:t>
      </w:r>
      <w:r>
        <w:rPr>
          <w:rFonts w:hint="eastAsia" w:ascii="仿宋_GB2312" w:hAnsi="仿宋_GB2312" w:eastAsia="仿宋_GB2312" w:cs="仿宋_GB2312"/>
          <w:color w:val="000000"/>
          <w:sz w:val="32"/>
          <w:highlight w:val="none"/>
        </w:rPr>
        <w:t>%，主要原因是</w:t>
      </w:r>
      <w:r>
        <w:rPr>
          <w:rFonts w:hint="eastAsia" w:ascii="仿宋_GB2312" w:hAnsi="仿宋" w:eastAsia="仿宋_GB2312" w:cs="仿宋"/>
          <w:color w:val="000000"/>
          <w:sz w:val="32"/>
          <w:szCs w:val="32"/>
          <w:highlight w:val="none"/>
          <w:lang w:val="en-US" w:eastAsia="zh-CN"/>
        </w:rPr>
        <w:t>省交通运输工会2020年人员经费和公用经费支出均有增加。</w:t>
      </w:r>
    </w:p>
    <w:p>
      <w:pPr>
        <w:spacing w:beforeLines="0" w:afterLines="0"/>
        <w:ind w:firstLine="640" w:firstLineChars="200"/>
        <w:jc w:val="center"/>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图2：支出变动情况   (单位：万元)</w:t>
      </w:r>
    </w:p>
    <w:p>
      <w:pPr>
        <w:pStyle w:val="2"/>
      </w:pPr>
      <w:r>
        <w:rPr>
          <w:rFonts w:hint="eastAsia"/>
          <w:lang w:val="en-US" w:eastAsia="zh-CN"/>
        </w:rPr>
        <w:t xml:space="preserve">        </w:t>
      </w:r>
      <w:r>
        <w:rPr>
          <w:rFonts w:hint="eastAsia"/>
          <w:lang w:val="en-US" w:eastAsia="zh-CN"/>
        </w:rPr>
        <w:drawing>
          <wp:inline distT="0" distB="0" distL="114300" distR="114300">
            <wp:extent cx="4971415" cy="1723390"/>
            <wp:effectExtent l="4445" t="4445" r="15240" b="571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二、收入决算情况</w:t>
      </w:r>
      <w:r>
        <w:rPr>
          <w:rFonts w:hint="eastAsia" w:ascii="黑体" w:hAnsi="黑体" w:eastAsia="黑体"/>
          <w:color w:val="000000"/>
          <w:kern w:val="0"/>
          <w:sz w:val="32"/>
          <w:szCs w:val="32"/>
          <w:lang w:eastAsia="zh-CN" w:bidi="ar"/>
        </w:rPr>
        <w:t>说明</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pPr>
      <w:r>
        <w:rPr>
          <w:rFonts w:hint="eastAsia" w:ascii="仿宋_GB2312" w:hAnsi="仿宋_GB2312" w:eastAsia="仿宋_GB2312" w:cs="仿宋_GB2312"/>
          <w:color w:val="auto"/>
          <w:sz w:val="32"/>
          <w:lang w:val="en-US" w:eastAsia="zh-CN"/>
        </w:rPr>
        <w:t>2020年收入合计94.63万元，全部为一般公共预算财政拨款收入。无其他类型收入。</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rPr>
      </w:pPr>
      <w:r>
        <w:rPr>
          <w:rFonts w:hint="eastAsia" w:ascii="黑体" w:hAnsi="黑体" w:eastAsia="黑体"/>
          <w:color w:val="000000"/>
          <w:kern w:val="0"/>
          <w:sz w:val="32"/>
          <w:szCs w:val="32"/>
          <w:lang w:bidi="ar"/>
        </w:rPr>
        <w:t>三、支出决算情况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lang w:val="en-US" w:eastAsia="zh-CN"/>
        </w:rPr>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年支出合计</w:t>
      </w:r>
      <w:r>
        <w:rPr>
          <w:rFonts w:hint="eastAsia" w:ascii="仿宋_GB2312" w:hAnsi="宋体" w:eastAsia="仿宋_GB2312" w:cs="仿宋_GB2312"/>
          <w:color w:val="000000"/>
          <w:kern w:val="0"/>
          <w:sz w:val="32"/>
          <w:szCs w:val="32"/>
          <w:lang w:val="en-US" w:eastAsia="zh-CN" w:bidi="ar"/>
        </w:rPr>
        <w:t>94.63</w:t>
      </w:r>
      <w:r>
        <w:rPr>
          <w:rFonts w:hint="eastAsia" w:ascii="仿宋_GB2312" w:hAnsi="仿宋_GB2312" w:eastAsia="仿宋_GB2312" w:cs="仿宋_GB2312"/>
          <w:color w:val="000000"/>
          <w:sz w:val="32"/>
          <w:highlight w:val="none"/>
        </w:rPr>
        <w:t>万元</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val="en-US" w:eastAsia="zh-CN" w:bidi="ar"/>
        </w:rPr>
        <w:t>全部为基本支出。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四、财政拨款收入支出决算总体情况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2020年度财政拨款收入94.63万元。与2019年度相比，收入增加了21.98万元，主要原因是人员编制的调整和行政人员基本工资的调整，以及省级产业工会独立核算后公用经费的增加。</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图3：财政拨款收入变动情况(单位：万元)</w:t>
      </w:r>
    </w:p>
    <w:p>
      <w:pPr>
        <w:pStyle w:val="2"/>
        <w:rPr>
          <w:rFonts w:hint="eastAsia"/>
          <w:lang w:val="en-US" w:eastAsia="zh-CN"/>
        </w:rPr>
      </w:pPr>
      <w:r>
        <w:rPr>
          <w:rFonts w:hint="eastAsia"/>
          <w:lang w:val="en-US" w:eastAsia="zh-CN"/>
        </w:rPr>
        <w:drawing>
          <wp:inline distT="0" distB="0" distL="114300" distR="114300">
            <wp:extent cx="5080000" cy="2470785"/>
            <wp:effectExtent l="4445" t="4445" r="20955" b="2032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 xml:space="preserve">     2020年度财政拨款支出94.63万元。与2019年度相比，支出增加了21.98万元，主要原因是人员编制的调整和行政人员基本工资的调整，以及省级产业工会独立核算后公用经费的增加。</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图4：财政拨款支出变动情况(单位：万元)</w:t>
      </w:r>
    </w:p>
    <w:p>
      <w:pPr>
        <w:pStyle w:val="2"/>
      </w:pPr>
      <w:r>
        <w:rPr>
          <w:rFonts w:hint="eastAsia"/>
          <w:lang w:val="en-US" w:eastAsia="zh-CN"/>
        </w:rPr>
        <w:drawing>
          <wp:inline distT="0" distB="0" distL="114300" distR="114300">
            <wp:extent cx="5080000" cy="2470785"/>
            <wp:effectExtent l="4445" t="4445" r="20955" b="2032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ind w:left="0" w:leftChars="0" w:firstLine="0" w:firstLineChars="0"/>
        <w:jc w:val="center"/>
        <w:rPr>
          <w:rFonts w:hint="eastAsia" w:ascii="黑体" w:hAnsi="黑体" w:eastAsia="黑体"/>
          <w:color w:val="000000"/>
          <w:kern w:val="0"/>
          <w:sz w:val="32"/>
          <w:szCs w:val="32"/>
          <w:lang w:bidi="ar"/>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五、一般公共预算财政拨款支出决算情况</w:t>
      </w:r>
      <w:r>
        <w:rPr>
          <w:rFonts w:hint="eastAsia" w:ascii="黑体" w:hAnsi="黑体" w:eastAsia="黑体"/>
          <w:color w:val="000000"/>
          <w:kern w:val="0"/>
          <w:sz w:val="32"/>
          <w:szCs w:val="32"/>
          <w:lang w:eastAsia="zh-CN" w:bidi="ar"/>
        </w:rPr>
        <w:t>说明</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楷体_GB2312" w:hAnsi="宋体" w:eastAsia="楷体_GB2312" w:cs="楷体_GB2312"/>
          <w:b/>
          <w:color w:val="000000"/>
          <w:kern w:val="0"/>
          <w:sz w:val="32"/>
          <w:szCs w:val="32"/>
          <w:lang w:bidi="ar"/>
        </w:rPr>
      </w:pPr>
      <w:r>
        <w:rPr>
          <w:rFonts w:ascii="楷体_GB2312" w:hAnsi="宋体" w:eastAsia="楷体_GB2312" w:cs="楷体_GB2312"/>
          <w:b/>
          <w:color w:val="000000"/>
          <w:kern w:val="0"/>
          <w:sz w:val="32"/>
          <w:szCs w:val="32"/>
          <w:lang w:bidi="ar"/>
        </w:rPr>
        <w:t>（一）财政拨款支出决算总体情况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960" w:firstLineChars="3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2020年财政拨款支出94.63万元，其中：一般公共服务支出94.63万元。与上年相比，财政拨款支出增加了21.98万元，主要原因是人员编制的调整和行政人员基本工资的调整，以及省级产业工会独立核算后公用经费的增加。</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sz w:val="32"/>
          <w:szCs w:val="32"/>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财政拨款支出决算具体情况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960" w:firstLineChars="300"/>
        <w:jc w:val="both"/>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 xml:space="preserve"> 年财政拨款支出</w:t>
      </w:r>
      <w:r>
        <w:rPr>
          <w:rFonts w:hint="eastAsia" w:ascii="仿宋_GB2312" w:hAnsi="宋体" w:eastAsia="仿宋_GB2312" w:cs="仿宋_GB2312"/>
          <w:color w:val="000000"/>
          <w:kern w:val="0"/>
          <w:sz w:val="32"/>
          <w:szCs w:val="32"/>
          <w:lang w:val="en-US" w:eastAsia="zh-CN" w:bidi="ar"/>
        </w:rPr>
        <w:t>总</w:t>
      </w:r>
      <w:r>
        <w:rPr>
          <w:rFonts w:ascii="仿宋_GB2312" w:hAnsi="宋体" w:eastAsia="仿宋_GB2312" w:cs="仿宋_GB2312"/>
          <w:color w:val="000000"/>
          <w:kern w:val="0"/>
          <w:sz w:val="32"/>
          <w:szCs w:val="32"/>
          <w:lang w:bidi="ar"/>
        </w:rPr>
        <w:t>预算为</w:t>
      </w:r>
      <w:r>
        <w:rPr>
          <w:rFonts w:hint="eastAsia" w:ascii="仿宋_GB2312" w:hAnsi="仿宋_GB2312" w:eastAsia="仿宋_GB2312" w:cs="仿宋_GB2312"/>
          <w:color w:val="auto"/>
          <w:sz w:val="32"/>
          <w:lang w:val="en-US" w:eastAsia="zh-CN"/>
        </w:rPr>
        <w:t>94.63</w:t>
      </w:r>
      <w:r>
        <w:rPr>
          <w:rFonts w:ascii="仿宋_GB2312" w:hAnsi="宋体" w:eastAsia="仿宋_GB2312" w:cs="仿宋_GB2312"/>
          <w:color w:val="000000"/>
          <w:kern w:val="0"/>
          <w:sz w:val="32"/>
          <w:szCs w:val="32"/>
          <w:lang w:bidi="ar"/>
        </w:rPr>
        <w:t>万元，支出</w:t>
      </w:r>
      <w:r>
        <w:rPr>
          <w:rFonts w:hint="eastAsia" w:ascii="仿宋_GB2312" w:hAnsi="宋体" w:eastAsia="仿宋_GB2312" w:cs="仿宋_GB2312"/>
          <w:color w:val="000000"/>
          <w:kern w:val="0"/>
          <w:sz w:val="32"/>
          <w:szCs w:val="32"/>
          <w:lang w:val="en-US" w:eastAsia="zh-CN" w:bidi="ar"/>
        </w:rPr>
        <w:t>总</w:t>
      </w:r>
      <w:r>
        <w:rPr>
          <w:rFonts w:ascii="仿宋_GB2312" w:hAnsi="宋体" w:eastAsia="仿宋_GB2312" w:cs="仿宋_GB2312"/>
          <w:color w:val="000000"/>
          <w:kern w:val="0"/>
          <w:sz w:val="32"/>
          <w:szCs w:val="32"/>
          <w:lang w:bidi="ar"/>
        </w:rPr>
        <w:t>决算为</w:t>
      </w:r>
      <w:r>
        <w:rPr>
          <w:rFonts w:hint="eastAsia" w:ascii="仿宋_GB2312" w:hAnsi="仿宋_GB2312" w:eastAsia="仿宋_GB2312" w:cs="仿宋_GB2312"/>
          <w:color w:val="auto"/>
          <w:sz w:val="32"/>
          <w:lang w:val="en-US" w:eastAsia="zh-CN"/>
        </w:rPr>
        <w:t>94.63万元</w:t>
      </w:r>
      <w:r>
        <w:rPr>
          <w:rFonts w:ascii="仿宋_GB2312" w:hAnsi="宋体" w:eastAsia="仿宋_GB2312" w:cs="仿宋_GB2312"/>
          <w:color w:val="000000"/>
          <w:kern w:val="0"/>
          <w:sz w:val="32"/>
          <w:szCs w:val="32"/>
          <w:lang w:bidi="ar"/>
        </w:rPr>
        <w:t>，完成预算的</w:t>
      </w:r>
      <w:r>
        <w:rPr>
          <w:rFonts w:hint="eastAsia" w:ascii="仿宋_GB2312" w:hAnsi="宋体" w:eastAsia="仿宋_GB2312" w:cs="仿宋_GB2312"/>
          <w:color w:val="000000"/>
          <w:kern w:val="0"/>
          <w:sz w:val="32"/>
          <w:szCs w:val="32"/>
          <w:lang w:val="en-US" w:eastAsia="zh-CN" w:bidi="ar"/>
        </w:rPr>
        <w:t>100</w:t>
      </w:r>
      <w:r>
        <w:rPr>
          <w:rFonts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960" w:firstLineChars="300"/>
        <w:jc w:val="both"/>
        <w:textAlignment w:val="auto"/>
        <w:rPr>
          <w:rFonts w:ascii="仿宋_GB2312" w:hAnsi="宋体" w:eastAsia="仿宋_GB2312" w:cs="仿宋_GB2312"/>
          <w:color w:val="000000"/>
          <w:kern w:val="0"/>
          <w:sz w:val="32"/>
          <w:szCs w:val="32"/>
          <w:highlight w:val="none"/>
          <w:lang w:bidi="ar"/>
        </w:rPr>
      </w:pPr>
      <w:r>
        <w:rPr>
          <w:rFonts w:hint="eastAsia" w:ascii="仿宋_GB2312" w:hAnsi="宋体" w:eastAsia="仿宋_GB2312" w:cs="仿宋_GB2312"/>
          <w:color w:val="000000"/>
          <w:kern w:val="0"/>
          <w:sz w:val="32"/>
          <w:szCs w:val="32"/>
          <w:lang w:bidi="ar"/>
        </w:rPr>
        <w:t>按照政府功能分类科目，财政拨款支出决算</w:t>
      </w:r>
      <w:r>
        <w:rPr>
          <w:rFonts w:hint="eastAsia" w:ascii="仿宋_GB2312" w:hAnsi="宋体" w:eastAsia="仿宋_GB2312" w:cs="仿宋_GB2312"/>
          <w:color w:val="000000"/>
          <w:kern w:val="0"/>
          <w:sz w:val="32"/>
          <w:szCs w:val="32"/>
          <w:lang w:val="en-US" w:eastAsia="zh-CN" w:bidi="ar"/>
        </w:rPr>
        <w:t>主要是</w:t>
      </w:r>
      <w:r>
        <w:rPr>
          <w:rFonts w:hint="eastAsia" w:ascii="仿宋_GB2312" w:hAnsi="宋体" w:eastAsia="仿宋_GB2312" w:cs="仿宋_GB2312"/>
          <w:color w:val="000000"/>
          <w:kern w:val="0"/>
          <w:sz w:val="32"/>
          <w:szCs w:val="32"/>
          <w:lang w:bidi="ar"/>
        </w:rPr>
        <w:t>一般公共服务支出（类）群众团体事务（款）行政运行（项）</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预算为</w:t>
      </w:r>
      <w:r>
        <w:rPr>
          <w:rFonts w:hint="eastAsia" w:ascii="仿宋_GB2312" w:hAnsi="仿宋_GB2312" w:eastAsia="仿宋_GB2312" w:cs="仿宋_GB2312"/>
          <w:color w:val="auto"/>
          <w:sz w:val="32"/>
          <w:lang w:val="en-US" w:eastAsia="zh-CN"/>
        </w:rPr>
        <w:t>94.63</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94.63</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val="en-US" w:eastAsia="zh-CN" w:bidi="ar"/>
        </w:rPr>
        <w:t>100</w:t>
      </w:r>
      <w:r>
        <w:rPr>
          <w:rFonts w:ascii="仿宋_GB2312" w:hAnsi="宋体" w:eastAsia="仿宋_GB2312" w:cs="仿宋_GB2312"/>
          <w:color w:val="000000"/>
          <w:kern w:val="0"/>
          <w:sz w:val="32"/>
          <w:szCs w:val="32"/>
          <w:lang w:bidi="ar"/>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六、一般公共预算财政拨款基本支出决算情况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kern w:val="0"/>
          <w:sz w:val="32"/>
          <w:szCs w:val="32"/>
          <w:lang w:bidi="ar"/>
        </w:rPr>
      </w:pPr>
      <w:r>
        <w:rPr>
          <w:rFonts w:ascii="仿宋_GB2312" w:hAnsi="仿宋_GB2312" w:eastAsia="仿宋_GB2312" w:cs="仿宋_GB2312"/>
          <w:color w:val="auto"/>
          <w:kern w:val="0"/>
          <w:sz w:val="32"/>
          <w:szCs w:val="32"/>
          <w:lang w:bidi="ar"/>
        </w:rPr>
        <w:t>20</w:t>
      </w:r>
      <w:r>
        <w:rPr>
          <w:rFonts w:hint="eastAsia" w:ascii="仿宋_GB2312" w:hAnsi="仿宋_GB2312" w:eastAsia="仿宋_GB2312" w:cs="仿宋_GB2312"/>
          <w:color w:val="auto"/>
          <w:kern w:val="0"/>
          <w:sz w:val="32"/>
          <w:szCs w:val="32"/>
          <w:lang w:val="en-US" w:eastAsia="zh-CN" w:bidi="ar"/>
        </w:rPr>
        <w:t>20</w:t>
      </w:r>
      <w:r>
        <w:rPr>
          <w:rFonts w:ascii="仿宋_GB2312" w:hAnsi="仿宋_GB2312" w:eastAsia="仿宋_GB2312" w:cs="仿宋_GB2312"/>
          <w:color w:val="auto"/>
          <w:kern w:val="0"/>
          <w:sz w:val="32"/>
          <w:szCs w:val="32"/>
          <w:lang w:bidi="ar"/>
        </w:rPr>
        <w:t>年</w:t>
      </w:r>
      <w:r>
        <w:rPr>
          <w:rFonts w:hint="eastAsia" w:ascii="仿宋_GB2312" w:hAnsi="仿宋_GB2312" w:eastAsia="仿宋_GB2312" w:cs="仿宋_GB2312"/>
          <w:color w:val="auto"/>
          <w:kern w:val="0"/>
          <w:sz w:val="32"/>
          <w:szCs w:val="32"/>
          <w:lang w:val="en-US" w:eastAsia="zh-CN" w:bidi="ar"/>
        </w:rPr>
        <w:t>度</w:t>
      </w:r>
      <w:r>
        <w:rPr>
          <w:rFonts w:ascii="仿宋_GB2312" w:hAnsi="仿宋_GB2312" w:eastAsia="仿宋_GB2312" w:cs="仿宋_GB2312"/>
          <w:color w:val="auto"/>
          <w:kern w:val="0"/>
          <w:sz w:val="32"/>
          <w:szCs w:val="32"/>
          <w:lang w:bidi="ar"/>
        </w:rPr>
        <w:t>一般公共预算财政拨款基本支出</w:t>
      </w:r>
      <w:r>
        <w:rPr>
          <w:rFonts w:hint="eastAsia" w:ascii="仿宋_GB2312" w:hAnsi="仿宋_GB2312" w:eastAsia="仿宋_GB2312" w:cs="仿宋_GB2312"/>
          <w:color w:val="auto"/>
          <w:kern w:val="0"/>
          <w:sz w:val="32"/>
          <w:szCs w:val="32"/>
          <w:lang w:val="en-US" w:eastAsia="zh-CN" w:bidi="ar"/>
        </w:rPr>
        <w:t>94.63</w:t>
      </w:r>
      <w:r>
        <w:rPr>
          <w:rFonts w:ascii="仿宋_GB2312" w:hAnsi="仿宋_GB2312" w:eastAsia="仿宋_GB2312" w:cs="仿宋_GB2312"/>
          <w:color w:val="auto"/>
          <w:kern w:val="0"/>
          <w:sz w:val="32"/>
          <w:szCs w:val="32"/>
          <w:lang w:bidi="ar"/>
        </w:rPr>
        <w:t>万元，</w:t>
      </w:r>
      <w:r>
        <w:rPr>
          <w:rFonts w:hint="eastAsia" w:ascii="仿宋_GB2312" w:hAnsi="仿宋_GB2312" w:eastAsia="仿宋_GB2312" w:cs="仿宋_GB2312"/>
          <w:color w:val="auto"/>
          <w:kern w:val="0"/>
          <w:sz w:val="32"/>
          <w:szCs w:val="32"/>
          <w:lang w:val="en-US" w:eastAsia="zh-CN" w:bidi="ar"/>
        </w:rPr>
        <w:t>包括</w:t>
      </w:r>
      <w:r>
        <w:rPr>
          <w:rFonts w:ascii="仿宋_GB2312" w:hAnsi="仿宋_GB2312" w:eastAsia="仿宋_GB2312" w:cs="仿宋_GB2312"/>
          <w:color w:val="auto"/>
          <w:kern w:val="0"/>
          <w:sz w:val="32"/>
          <w:szCs w:val="32"/>
          <w:lang w:bidi="ar"/>
        </w:rPr>
        <w:t>：人员经费</w:t>
      </w:r>
      <w:r>
        <w:rPr>
          <w:rFonts w:hint="eastAsia" w:ascii="仿宋_GB2312" w:hAnsi="仿宋_GB2312" w:eastAsia="仿宋_GB2312" w:cs="仿宋_GB2312"/>
          <w:color w:val="auto"/>
          <w:kern w:val="0"/>
          <w:sz w:val="32"/>
          <w:szCs w:val="32"/>
          <w:lang w:val="en-US" w:eastAsia="zh-CN" w:bidi="ar"/>
        </w:rPr>
        <w:t>支出83.92</w:t>
      </w:r>
      <w:r>
        <w:rPr>
          <w:rFonts w:ascii="仿宋_GB2312" w:hAnsi="仿宋_GB2312" w:eastAsia="仿宋_GB2312" w:cs="仿宋_GB2312"/>
          <w:color w:val="auto"/>
          <w:kern w:val="0"/>
          <w:sz w:val="32"/>
          <w:szCs w:val="32"/>
          <w:lang w:bidi="ar"/>
        </w:rPr>
        <w:t>万元和公用经费</w:t>
      </w:r>
      <w:r>
        <w:rPr>
          <w:rFonts w:hint="eastAsia" w:ascii="仿宋_GB2312" w:hAnsi="仿宋_GB2312" w:eastAsia="仿宋_GB2312" w:cs="仿宋_GB2312"/>
          <w:color w:val="auto"/>
          <w:kern w:val="0"/>
          <w:sz w:val="32"/>
          <w:szCs w:val="32"/>
          <w:lang w:val="en-US" w:eastAsia="zh-CN" w:bidi="ar"/>
        </w:rPr>
        <w:t>支出10.71</w:t>
      </w:r>
      <w:r>
        <w:rPr>
          <w:rFonts w:ascii="仿宋_GB2312" w:hAnsi="仿宋_GB2312" w:eastAsia="仿宋_GB2312" w:cs="仿宋_GB2312"/>
          <w:color w:val="auto"/>
          <w:kern w:val="0"/>
          <w:sz w:val="32"/>
          <w:szCs w:val="32"/>
          <w:lang w:bidi="ar"/>
        </w:rPr>
        <w:t>万元。</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宋体" w:eastAsia="仿宋_GB2312" w:cs="仿宋_GB2312"/>
          <w:color w:val="auto"/>
          <w:kern w:val="0"/>
          <w:sz w:val="32"/>
          <w:szCs w:val="32"/>
          <w:lang w:val="en-US" w:eastAsia="zh-CN" w:bidi="ar"/>
        </w:rPr>
      </w:pPr>
      <w:r>
        <w:rPr>
          <w:rFonts w:ascii="仿宋_GB2312" w:hAnsi="宋体" w:eastAsia="仿宋_GB2312" w:cs="仿宋_GB2312"/>
          <w:b/>
          <w:bCs/>
          <w:color w:val="auto"/>
          <w:kern w:val="0"/>
          <w:sz w:val="32"/>
          <w:szCs w:val="32"/>
          <w:lang w:bidi="ar"/>
        </w:rPr>
        <w:t>人员经费</w:t>
      </w:r>
      <w:r>
        <w:rPr>
          <w:rFonts w:hint="eastAsia" w:ascii="仿宋_GB2312" w:hAnsi="仿宋_GB2312" w:eastAsia="仿宋_GB2312" w:cs="仿宋_GB2312"/>
          <w:color w:val="auto"/>
          <w:kern w:val="0"/>
          <w:sz w:val="32"/>
          <w:szCs w:val="32"/>
          <w:lang w:val="en-US" w:eastAsia="zh-CN" w:bidi="ar"/>
        </w:rPr>
        <w:t>83.92万元</w:t>
      </w:r>
      <w:r>
        <w:rPr>
          <w:rFonts w:ascii="仿宋_GB2312" w:hAnsi="宋体" w:eastAsia="仿宋_GB2312" w:cs="仿宋_GB2312"/>
          <w:color w:val="auto"/>
          <w:kern w:val="0"/>
          <w:sz w:val="32"/>
          <w:szCs w:val="32"/>
          <w:lang w:bidi="ar"/>
        </w:rPr>
        <w:t>，主要包括</w:t>
      </w:r>
      <w:r>
        <w:rPr>
          <w:rFonts w:hint="eastAsia" w:ascii="仿宋_GB2312" w:hAnsi="宋体" w:eastAsia="仿宋_GB2312" w:cs="仿宋_GB2312"/>
          <w:color w:val="auto"/>
          <w:kern w:val="0"/>
          <w:sz w:val="32"/>
          <w:szCs w:val="32"/>
          <w:lang w:val="en-US" w:eastAsia="zh-CN" w:bidi="ar"/>
        </w:rPr>
        <w:t>工资福利支出</w:t>
      </w:r>
      <w:r>
        <w:rPr>
          <w:rFonts w:hint="default" w:ascii="仿宋_GB2312" w:hAnsi="宋体" w:eastAsia="仿宋_GB2312" w:cs="仿宋_GB2312"/>
          <w:color w:val="auto"/>
          <w:kern w:val="0"/>
          <w:sz w:val="32"/>
          <w:szCs w:val="32"/>
          <w:lang w:val="en-US" w:eastAsia="zh-CN" w:bidi="ar"/>
        </w:rPr>
        <w:t>6</w:t>
      </w:r>
      <w:r>
        <w:rPr>
          <w:rFonts w:hint="eastAsia" w:ascii="仿宋_GB2312" w:hAnsi="宋体" w:eastAsia="仿宋_GB2312" w:cs="仿宋_GB2312"/>
          <w:color w:val="auto"/>
          <w:kern w:val="0"/>
          <w:sz w:val="32"/>
          <w:szCs w:val="32"/>
          <w:lang w:val="en-US" w:eastAsia="zh-CN" w:bidi="ar"/>
        </w:rPr>
        <w:t>2</w:t>
      </w:r>
      <w:r>
        <w:rPr>
          <w:rFonts w:hint="default" w:ascii="仿宋_GB2312" w:hAnsi="宋体" w:eastAsia="仿宋_GB2312" w:cs="仿宋_GB2312"/>
          <w:color w:val="auto"/>
          <w:kern w:val="0"/>
          <w:sz w:val="32"/>
          <w:szCs w:val="32"/>
          <w:lang w:val="en-US" w:eastAsia="zh-CN" w:bidi="ar"/>
        </w:rPr>
        <w:t>.07</w:t>
      </w:r>
      <w:r>
        <w:rPr>
          <w:rFonts w:hint="eastAsia" w:ascii="仿宋_GB2312" w:hAnsi="宋体" w:eastAsia="仿宋_GB2312" w:cs="仿宋_GB2312"/>
          <w:color w:val="auto"/>
          <w:kern w:val="0"/>
          <w:sz w:val="32"/>
          <w:szCs w:val="32"/>
          <w:lang w:bidi="ar"/>
        </w:rPr>
        <w:t>万元</w:t>
      </w:r>
      <w:r>
        <w:rPr>
          <w:rFonts w:hint="eastAsia" w:ascii="仿宋_GB2312" w:hAnsi="宋体" w:eastAsia="仿宋_GB2312" w:cs="仿宋_GB2312"/>
          <w:color w:val="auto"/>
          <w:kern w:val="0"/>
          <w:sz w:val="32"/>
          <w:szCs w:val="32"/>
          <w:lang w:eastAsia="zh-CN" w:bidi="ar"/>
        </w:rPr>
        <w:t>、</w:t>
      </w:r>
      <w:r>
        <w:rPr>
          <w:rFonts w:hint="eastAsia" w:ascii="仿宋_GB2312" w:hAnsi="宋体" w:eastAsia="仿宋_GB2312" w:cs="仿宋_GB2312"/>
          <w:color w:val="auto"/>
          <w:kern w:val="0"/>
          <w:sz w:val="32"/>
          <w:szCs w:val="32"/>
          <w:lang w:val="en-US" w:eastAsia="zh-CN" w:bidi="ar"/>
        </w:rPr>
        <w:t>工资奖金津补贴17.27万元、住房公积金4.58万元。</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eastAsia="仿宋_GB2312"/>
          <w:color w:val="auto"/>
          <w:sz w:val="32"/>
          <w:szCs w:val="32"/>
          <w:lang w:val="en-US" w:eastAsia="zh-CN"/>
        </w:rPr>
      </w:pPr>
      <w:r>
        <w:rPr>
          <w:rFonts w:ascii="仿宋_GB2312" w:hAnsi="宋体" w:eastAsia="仿宋_GB2312" w:cs="仿宋_GB2312"/>
          <w:b/>
          <w:bCs/>
          <w:color w:val="auto"/>
          <w:kern w:val="0"/>
          <w:sz w:val="32"/>
          <w:szCs w:val="32"/>
          <w:lang w:bidi="ar"/>
        </w:rPr>
        <w:t>公用经费</w:t>
      </w:r>
      <w:r>
        <w:rPr>
          <w:rFonts w:hint="eastAsia" w:ascii="仿宋_GB2312" w:hAnsi="仿宋_GB2312" w:eastAsia="仿宋_GB2312" w:cs="仿宋_GB2312"/>
          <w:color w:val="auto"/>
          <w:kern w:val="0"/>
          <w:sz w:val="32"/>
          <w:szCs w:val="32"/>
          <w:lang w:val="en-US" w:eastAsia="zh-CN" w:bidi="ar"/>
        </w:rPr>
        <w:t>10.71</w:t>
      </w:r>
      <w:r>
        <w:rPr>
          <w:rFonts w:ascii="仿宋_GB2312" w:hAnsi="宋体" w:eastAsia="仿宋_GB2312" w:cs="仿宋_GB2312"/>
          <w:color w:val="auto"/>
          <w:kern w:val="0"/>
          <w:sz w:val="32"/>
          <w:szCs w:val="32"/>
          <w:lang w:bidi="ar"/>
        </w:rPr>
        <w:t>万元，</w:t>
      </w:r>
      <w:r>
        <w:rPr>
          <w:rFonts w:hint="eastAsia" w:ascii="仿宋_GB2312" w:hAnsi="宋体" w:eastAsia="仿宋_GB2312" w:cs="仿宋_GB2312"/>
          <w:color w:val="auto"/>
          <w:kern w:val="0"/>
          <w:sz w:val="32"/>
          <w:szCs w:val="32"/>
          <w:lang w:val="en-US" w:eastAsia="zh-CN" w:bidi="ar"/>
        </w:rPr>
        <w:t>主要包括商品和服务支出10.71万元。</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olor w:val="000000"/>
          <w:kern w:val="0"/>
          <w:sz w:val="32"/>
          <w:szCs w:val="32"/>
          <w:highlight w:val="none"/>
          <w:lang w:bidi="ar"/>
        </w:rPr>
      </w:pPr>
      <w:r>
        <w:rPr>
          <w:rFonts w:hint="eastAsia" w:ascii="黑体" w:hAnsi="黑体" w:eastAsia="黑体"/>
          <w:color w:val="000000"/>
          <w:kern w:val="0"/>
          <w:sz w:val="32"/>
          <w:szCs w:val="32"/>
          <w:highlight w:val="none"/>
          <w:lang w:bidi="ar"/>
        </w:rPr>
        <w:t>七、一般公共预算财政拨款“三公”经费及会议费、培训费支出决算情况</w:t>
      </w:r>
      <w:r>
        <w:rPr>
          <w:rFonts w:hint="eastAsia" w:ascii="黑体" w:hAnsi="黑体" w:eastAsia="黑体"/>
          <w:color w:val="000000"/>
          <w:kern w:val="0"/>
          <w:sz w:val="32"/>
          <w:szCs w:val="32"/>
          <w:highlight w:val="none"/>
          <w:lang w:eastAsia="zh-CN" w:bidi="ar"/>
        </w:rPr>
        <w:t>说明</w:t>
      </w:r>
      <w:r>
        <w:rPr>
          <w:rFonts w:hint="eastAsia" w:ascii="黑体" w:hAnsi="黑体" w:eastAsia="黑体"/>
          <w:color w:val="000000"/>
          <w:kern w:val="0"/>
          <w:sz w:val="32"/>
          <w:szCs w:val="32"/>
          <w:highlight w:val="none"/>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年</w:t>
      </w:r>
      <w:r>
        <w:rPr>
          <w:rFonts w:hint="eastAsia" w:ascii="仿宋_GB2312" w:hAnsi="宋体" w:eastAsia="仿宋_GB2312" w:cs="仿宋_GB2312"/>
          <w:color w:val="000000"/>
          <w:kern w:val="0"/>
          <w:sz w:val="32"/>
          <w:szCs w:val="32"/>
          <w:lang w:val="en-US" w:eastAsia="zh-CN" w:bidi="ar"/>
        </w:rPr>
        <w:t>度财政拨款“三公”经费及会议费、培训费支出</w:t>
      </w:r>
      <w:r>
        <w:rPr>
          <w:rFonts w:ascii="仿宋_GB2312" w:hAnsi="宋体" w:eastAsia="仿宋_GB2312" w:cs="仿宋_GB2312"/>
          <w:color w:val="000000"/>
          <w:kern w:val="0"/>
          <w:sz w:val="32"/>
          <w:szCs w:val="32"/>
          <w:lang w:bidi="ar"/>
        </w:rPr>
        <w:t>支出预算为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八、政府性基金预算财政拨款收入支出情况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本部门无政府性基金决算收支，并已公开空表</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九、国有资本经营财政拨款收</w:t>
      </w:r>
      <w:r>
        <w:rPr>
          <w:rFonts w:hint="eastAsia" w:ascii="黑体" w:hAnsi="黑体" w:eastAsia="黑体"/>
          <w:color w:val="000000"/>
          <w:kern w:val="0"/>
          <w:sz w:val="32"/>
          <w:szCs w:val="32"/>
          <w:lang w:eastAsia="zh-CN" w:bidi="ar"/>
        </w:rPr>
        <w:t>入</w:t>
      </w:r>
      <w:r>
        <w:rPr>
          <w:rFonts w:hint="eastAsia" w:ascii="黑体" w:hAnsi="黑体" w:eastAsia="黑体"/>
          <w:color w:val="000000"/>
          <w:kern w:val="0"/>
          <w:sz w:val="32"/>
          <w:szCs w:val="32"/>
          <w:lang w:bidi="ar"/>
        </w:rPr>
        <w:t>支</w:t>
      </w:r>
      <w:r>
        <w:rPr>
          <w:rFonts w:hint="eastAsia" w:ascii="黑体" w:hAnsi="黑体" w:eastAsia="黑体"/>
          <w:color w:val="000000"/>
          <w:kern w:val="0"/>
          <w:sz w:val="32"/>
          <w:szCs w:val="32"/>
          <w:lang w:eastAsia="zh-CN" w:bidi="ar"/>
        </w:rPr>
        <w:t>出</w:t>
      </w:r>
      <w:r>
        <w:rPr>
          <w:rFonts w:hint="eastAsia" w:ascii="黑体" w:hAnsi="黑体" w:eastAsia="黑体"/>
          <w:color w:val="000000"/>
          <w:kern w:val="0"/>
          <w:sz w:val="32"/>
          <w:szCs w:val="32"/>
          <w:lang w:bidi="ar"/>
        </w:rPr>
        <w:t>情况</w:t>
      </w:r>
      <w:r>
        <w:rPr>
          <w:rFonts w:hint="eastAsia" w:ascii="黑体" w:hAnsi="黑体" w:eastAsia="黑体"/>
          <w:color w:val="000000"/>
          <w:kern w:val="0"/>
          <w:sz w:val="32"/>
          <w:szCs w:val="32"/>
          <w:lang w:eastAsia="zh-CN" w:bidi="ar"/>
        </w:rPr>
        <w:t>说明</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本部门无国有资本经营决算拨款收支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并已公开空表</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auto"/>
          <w:kern w:val="0"/>
          <w:sz w:val="32"/>
          <w:szCs w:val="32"/>
          <w:highlight w:val="none"/>
          <w:lang w:val="en-US" w:eastAsia="zh-CN" w:bidi="ar"/>
        </w:rPr>
      </w:pPr>
      <w:r>
        <w:rPr>
          <w:rFonts w:hint="eastAsia" w:ascii="黑体" w:hAnsi="黑体" w:eastAsia="黑体"/>
          <w:color w:val="auto"/>
          <w:kern w:val="0"/>
          <w:sz w:val="32"/>
          <w:szCs w:val="32"/>
          <w:highlight w:val="none"/>
          <w:lang w:bidi="ar"/>
        </w:rPr>
        <w:t>十、机关运行经费支出情况</w:t>
      </w:r>
      <w:r>
        <w:rPr>
          <w:rFonts w:hint="eastAsia" w:ascii="黑体" w:hAnsi="黑体" w:eastAsia="黑体"/>
          <w:color w:val="auto"/>
          <w:kern w:val="0"/>
          <w:sz w:val="32"/>
          <w:szCs w:val="32"/>
          <w:highlight w:val="none"/>
          <w:lang w:eastAsia="zh-CN" w:bidi="ar"/>
        </w:rPr>
        <w:t>说明</w:t>
      </w:r>
    </w:p>
    <w:p>
      <w:pPr>
        <w:keepNext w:val="0"/>
        <w:keepLines w:val="0"/>
        <w:pageBreakBefore w:val="0"/>
        <w:widowControl/>
        <w:kinsoku/>
        <w:wordWrap/>
        <w:overflowPunct/>
        <w:topLinePunct w:val="0"/>
        <w:autoSpaceDE/>
        <w:autoSpaceDN/>
        <w:bidi w:val="0"/>
        <w:spacing w:line="560" w:lineRule="exact"/>
        <w:ind w:left="617" w:leftChars="294" w:firstLine="0" w:firstLineChars="0"/>
        <w:jc w:val="left"/>
        <w:textAlignment w:val="auto"/>
        <w:rPr>
          <w:rFonts w:hint="eastAsia" w:ascii="仿宋_GB2312" w:hAnsi="宋体"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1"/>
          <w:szCs w:val="31"/>
          <w:highlight w:val="none"/>
          <w:lang w:eastAsia="zh-CN" w:bidi="ar"/>
        </w:rPr>
        <w:t>2020</w:t>
      </w:r>
      <w:r>
        <w:rPr>
          <w:rFonts w:ascii="仿宋_GB2312" w:hAnsi="仿宋_GB2312" w:eastAsia="仿宋_GB2312" w:cs="仿宋_GB2312"/>
          <w:color w:val="000000"/>
          <w:kern w:val="0"/>
          <w:sz w:val="31"/>
          <w:szCs w:val="31"/>
          <w:highlight w:val="none"/>
          <w:lang w:bidi="ar"/>
        </w:rPr>
        <w:t>年机关运行经费</w:t>
      </w:r>
      <w:r>
        <w:rPr>
          <w:rFonts w:ascii="仿宋_GB2312" w:hAnsi="宋体" w:eastAsia="仿宋_GB2312" w:cs="仿宋_GB2312"/>
          <w:color w:val="000000"/>
          <w:kern w:val="0"/>
          <w:sz w:val="32"/>
          <w:szCs w:val="32"/>
          <w:highlight w:val="none"/>
          <w:lang w:bidi="ar"/>
        </w:rPr>
        <w:t>预算为</w:t>
      </w:r>
      <w:r>
        <w:rPr>
          <w:rFonts w:hint="eastAsia" w:ascii="仿宋_GB2312" w:hAnsi="宋体" w:eastAsia="仿宋_GB2312" w:cs="仿宋_GB2312"/>
          <w:color w:val="000000"/>
          <w:kern w:val="0"/>
          <w:sz w:val="32"/>
          <w:szCs w:val="32"/>
          <w:highlight w:val="none"/>
          <w:lang w:val="en-US" w:eastAsia="zh-CN" w:bidi="ar"/>
        </w:rPr>
        <w:t>10.71</w:t>
      </w:r>
      <w:r>
        <w:rPr>
          <w:rFonts w:ascii="仿宋_GB2312" w:hAnsi="宋体" w:eastAsia="仿宋_GB2312" w:cs="仿宋_GB2312"/>
          <w:color w:val="000000"/>
          <w:kern w:val="0"/>
          <w:sz w:val="32"/>
          <w:szCs w:val="32"/>
          <w:highlight w:val="none"/>
          <w:lang w:bidi="ar"/>
        </w:rPr>
        <w:t>万元，支出决算</w:t>
      </w:r>
      <w:r>
        <w:rPr>
          <w:rFonts w:hint="eastAsia" w:ascii="仿宋_GB2312" w:hAnsi="宋体" w:eastAsia="仿宋_GB2312" w:cs="仿宋_GB2312"/>
          <w:color w:val="000000"/>
          <w:kern w:val="0"/>
          <w:sz w:val="32"/>
          <w:szCs w:val="32"/>
          <w:highlight w:val="none"/>
          <w:lang w:val="en-US" w:eastAsia="zh-CN" w:bidi="ar"/>
        </w:rPr>
        <w:t>10.71</w:t>
      </w:r>
      <w:r>
        <w:rPr>
          <w:rFonts w:ascii="仿宋_GB2312" w:hAnsi="宋体" w:eastAsia="仿宋_GB2312" w:cs="仿宋_GB2312"/>
          <w:color w:val="000000"/>
          <w:kern w:val="0"/>
          <w:sz w:val="32"/>
          <w:szCs w:val="32"/>
          <w:highlight w:val="none"/>
          <w:lang w:bidi="ar"/>
        </w:rPr>
        <w:t>万元。</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eastAsia="zh-CN" w:bidi="ar"/>
        </w:rPr>
        <w:t>十一、</w:t>
      </w:r>
      <w:r>
        <w:rPr>
          <w:rFonts w:hint="eastAsia" w:ascii="黑体" w:hAnsi="黑体" w:eastAsia="黑体"/>
          <w:color w:val="000000"/>
          <w:kern w:val="0"/>
          <w:sz w:val="32"/>
          <w:szCs w:val="32"/>
          <w:lang w:bidi="ar"/>
        </w:rPr>
        <w:t>政府采购支出情况</w:t>
      </w:r>
      <w:r>
        <w:rPr>
          <w:rFonts w:hint="eastAsia" w:ascii="黑体" w:hAnsi="黑体" w:eastAsia="黑体"/>
          <w:color w:val="000000"/>
          <w:kern w:val="0"/>
          <w:sz w:val="32"/>
          <w:szCs w:val="32"/>
          <w:lang w:eastAsia="zh-CN" w:bidi="ar"/>
        </w:rPr>
        <w:t>说明</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度</w:t>
      </w: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val="en-US" w:eastAsia="zh-CN"/>
        </w:rPr>
        <w:t>使用财政拨款</w:t>
      </w:r>
      <w:r>
        <w:rPr>
          <w:rFonts w:hint="eastAsia" w:ascii="仿宋_GB2312" w:hAnsi="仿宋_GB2312" w:eastAsia="仿宋_GB2312" w:cs="仿宋_GB2312"/>
          <w:sz w:val="32"/>
          <w:szCs w:val="32"/>
        </w:rPr>
        <w:t>政府采购支出总额共</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2"/>
        </w:numPr>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eastAsia="zh-CN" w:bidi="ar"/>
        </w:rPr>
      </w:pPr>
      <w:r>
        <w:rPr>
          <w:rFonts w:hint="eastAsia" w:ascii="黑体" w:hAnsi="黑体" w:eastAsia="黑体"/>
          <w:color w:val="000000"/>
          <w:kern w:val="0"/>
          <w:sz w:val="32"/>
          <w:szCs w:val="32"/>
          <w:lang w:bidi="ar"/>
        </w:rPr>
        <w:t>国有资产占用及购置情况</w:t>
      </w:r>
      <w:r>
        <w:rPr>
          <w:rFonts w:hint="eastAsia" w:ascii="黑体" w:hAnsi="黑体" w:eastAsia="黑体"/>
          <w:color w:val="000000"/>
          <w:kern w:val="0"/>
          <w:sz w:val="32"/>
          <w:szCs w:val="32"/>
          <w:lang w:eastAsia="zh-CN" w:bidi="ar"/>
        </w:rPr>
        <w:t>说明</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截至20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年末，本部门机关及所属单位共有车辆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单价50万元以上的通用设备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台（套）；单价100万元以上的专用设备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台（套）。20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年当年购置车辆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辆；购置单价50万元以上的通用设备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台（套）；购置单价100万元以上的专用设备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台（套）。</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highlight w:val="yellow"/>
          <w:lang w:bidi="ar"/>
        </w:rPr>
      </w:pPr>
      <w:r>
        <w:rPr>
          <w:rFonts w:hint="eastAsia" w:ascii="黑体" w:hAnsi="黑体" w:eastAsia="黑体"/>
          <w:color w:val="auto"/>
          <w:kern w:val="0"/>
          <w:sz w:val="32"/>
          <w:szCs w:val="32"/>
          <w:highlight w:val="none"/>
          <w:lang w:eastAsia="zh-CN" w:bidi="ar"/>
        </w:rPr>
        <w:t>十三、</w:t>
      </w:r>
      <w:r>
        <w:rPr>
          <w:rFonts w:hint="eastAsia" w:ascii="黑体" w:hAnsi="黑体" w:eastAsia="黑体"/>
          <w:color w:val="auto"/>
          <w:kern w:val="0"/>
          <w:sz w:val="32"/>
          <w:szCs w:val="32"/>
          <w:highlight w:val="none"/>
          <w:lang w:bidi="ar"/>
        </w:rPr>
        <w:t>预算绩效情况</w:t>
      </w:r>
      <w:r>
        <w:rPr>
          <w:rFonts w:hint="eastAsia" w:ascii="黑体" w:hAnsi="黑体" w:eastAsia="黑体"/>
          <w:color w:val="auto"/>
          <w:kern w:val="0"/>
          <w:sz w:val="32"/>
          <w:szCs w:val="32"/>
          <w:highlight w:val="none"/>
          <w:lang w:eastAsia="zh-CN" w:bidi="ar"/>
        </w:rPr>
        <w:t>说明</w:t>
      </w:r>
    </w:p>
    <w:p>
      <w:pPr>
        <w:keepNext w:val="0"/>
        <w:keepLines w:val="0"/>
        <w:pageBreakBefore w:val="0"/>
        <w:widowControl/>
        <w:kinsoku/>
        <w:wordWrap/>
        <w:overflowPunct/>
        <w:topLinePunct w:val="0"/>
        <w:autoSpaceDE/>
        <w:autoSpaceDN/>
        <w:bidi w:val="0"/>
        <w:spacing w:line="560" w:lineRule="exact"/>
        <w:ind w:left="1281" w:leftChars="304" w:hanging="643" w:hangingChars="200"/>
        <w:jc w:val="left"/>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（一）</w:t>
      </w:r>
      <w:r>
        <w:rPr>
          <w:rFonts w:ascii="楷体_GB2312" w:hAnsi="宋体" w:eastAsia="楷体_GB2312" w:cs="楷体_GB2312"/>
          <w:b/>
          <w:color w:val="000000"/>
          <w:kern w:val="0"/>
          <w:sz w:val="32"/>
          <w:szCs w:val="32"/>
          <w:lang w:bidi="ar"/>
        </w:rPr>
        <w:t>预算绩效管理工作开展情况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r>
        <w:rPr>
          <w:rFonts w:hint="eastAsia" w:ascii="楷体_GB2312" w:hAnsi="宋体" w:eastAsia="楷体_GB2312" w:cs="楷体_GB2312"/>
          <w:b/>
          <w:color w:val="000000"/>
          <w:kern w:val="0"/>
          <w:sz w:val="32"/>
          <w:szCs w:val="32"/>
          <w:lang w:bidi="ar"/>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rPr>
        <w:t>根据预算绩效管理要求，本部门组织对 2020年一般公共预算项目支出全面开展绩效自评，其中，一级项目</w:t>
      </w:r>
      <w:r>
        <w:rPr>
          <w:rFonts w:hint="eastAsia" w:ascii="仿宋" w:hAnsi="仿宋" w:eastAsia="仿宋" w:cs="仿宋"/>
          <w:sz w:val="32"/>
          <w:szCs w:val="40"/>
          <w:lang w:val="en-US" w:eastAsia="zh-CN"/>
        </w:rPr>
        <w:t>0</w:t>
      </w:r>
      <w:r>
        <w:rPr>
          <w:rFonts w:hint="eastAsia" w:ascii="仿宋" w:hAnsi="仿宋" w:eastAsia="仿宋" w:cs="仿宋"/>
          <w:sz w:val="32"/>
          <w:szCs w:val="40"/>
        </w:rPr>
        <w:t>个，二级项目</w:t>
      </w:r>
      <w:r>
        <w:rPr>
          <w:rFonts w:hint="eastAsia" w:ascii="仿宋" w:hAnsi="仿宋" w:eastAsia="仿宋" w:cs="仿宋"/>
          <w:sz w:val="32"/>
          <w:szCs w:val="40"/>
          <w:lang w:val="en-US" w:eastAsia="zh-CN"/>
        </w:rPr>
        <w:t>0</w:t>
      </w:r>
      <w:r>
        <w:rPr>
          <w:rFonts w:hint="eastAsia" w:ascii="仿宋" w:hAnsi="仿宋" w:eastAsia="仿宋" w:cs="仿宋"/>
          <w:sz w:val="32"/>
          <w:szCs w:val="40"/>
        </w:rPr>
        <w:t>个，共涉及资金</w:t>
      </w:r>
      <w:r>
        <w:rPr>
          <w:rFonts w:hint="eastAsia" w:ascii="仿宋" w:hAnsi="仿宋" w:eastAsia="仿宋" w:cs="仿宋"/>
          <w:sz w:val="32"/>
          <w:szCs w:val="40"/>
          <w:lang w:val="en-US" w:eastAsia="zh-CN"/>
        </w:rPr>
        <w:t>0</w:t>
      </w:r>
      <w:r>
        <w:rPr>
          <w:rFonts w:hint="eastAsia" w:ascii="仿宋" w:hAnsi="仿宋" w:eastAsia="仿宋" w:cs="仿宋"/>
          <w:sz w:val="32"/>
          <w:szCs w:val="40"/>
        </w:rPr>
        <w:t>万元</w:t>
      </w:r>
      <w:r>
        <w:rPr>
          <w:rFonts w:hint="eastAsia" w:ascii="仿宋" w:hAnsi="仿宋" w:eastAsia="仿宋" w:cs="仿宋"/>
          <w:sz w:val="32"/>
          <w:szCs w:val="40"/>
          <w:lang w:eastAsia="zh-CN"/>
        </w:rPr>
        <w:t>。</w:t>
      </w:r>
      <w:r>
        <w:rPr>
          <w:rFonts w:hint="eastAsia" w:ascii="仿宋" w:hAnsi="仿宋" w:eastAsia="仿宋" w:cs="仿宋"/>
          <w:sz w:val="32"/>
          <w:szCs w:val="40"/>
        </w:rPr>
        <w:t>2020</w:t>
      </w:r>
      <w:r>
        <w:rPr>
          <w:rFonts w:hint="eastAsia" w:ascii="仿宋" w:hAnsi="仿宋" w:eastAsia="仿宋" w:cs="仿宋"/>
          <w:sz w:val="32"/>
          <w:szCs w:val="40"/>
          <w:lang w:val="en-US" w:eastAsia="zh-CN"/>
        </w:rPr>
        <w:t>年无</w:t>
      </w:r>
      <w:r>
        <w:rPr>
          <w:rFonts w:hint="eastAsia" w:ascii="仿宋" w:hAnsi="仿宋" w:eastAsia="仿宋" w:cs="仿宋"/>
          <w:sz w:val="32"/>
          <w:szCs w:val="40"/>
        </w:rPr>
        <w:t>政府性基金预算项目支出</w:t>
      </w:r>
      <w:r>
        <w:rPr>
          <w:rFonts w:hint="eastAsia" w:ascii="仿宋" w:hAnsi="仿宋" w:eastAsia="仿宋" w:cs="仿宋"/>
          <w:sz w:val="32"/>
          <w:szCs w:val="40"/>
          <w:lang w:eastAsia="zh-CN"/>
        </w:rPr>
        <w:t>。</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部门决算中项目绩效自评结果。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 w:hAnsi="楷体" w:eastAsia="楷体" w:cs="楷体"/>
          <w:sz w:val="32"/>
          <w:szCs w:val="32"/>
        </w:rPr>
      </w:pPr>
      <w:r>
        <w:rPr>
          <w:rFonts w:hint="eastAsia" w:ascii="仿宋" w:hAnsi="仿宋" w:eastAsia="仿宋" w:cs="仿宋"/>
          <w:sz w:val="32"/>
          <w:szCs w:val="40"/>
          <w:lang w:val="en-US" w:eastAsia="zh-CN"/>
        </w:rPr>
        <w:t>本部门在省级部门决算中未发生一级项目，所以无相应的绩效自评结果。</w:t>
      </w:r>
    </w:p>
    <w:p>
      <w:pPr>
        <w:rPr>
          <w:rFonts w:hint="eastAsia" w:ascii="楷体" w:hAnsi="楷体" w:eastAsia="楷体" w:cs="楷体"/>
          <w:b/>
          <w:bCs/>
          <w:sz w:val="32"/>
          <w:szCs w:val="40"/>
          <w:lang w:val="en-US" w:eastAsia="zh-CN"/>
        </w:rPr>
      </w:pPr>
      <w:r>
        <w:rPr>
          <w:rFonts w:hint="eastAsia" w:ascii="楷体" w:hAnsi="楷体" w:eastAsia="楷体" w:cs="楷体"/>
          <w:sz w:val="32"/>
          <w:szCs w:val="32"/>
          <w:lang w:val="en-US" w:eastAsia="zh-CN"/>
        </w:rPr>
        <w:t xml:space="preserve">    </w:t>
      </w:r>
      <w:r>
        <w:rPr>
          <w:rFonts w:hint="eastAsia" w:ascii="楷体" w:hAnsi="楷体" w:eastAsia="楷体" w:cs="楷体"/>
          <w:b/>
          <w:bCs/>
          <w:sz w:val="32"/>
          <w:szCs w:val="40"/>
          <w:lang w:val="en-US" w:eastAsia="zh-CN"/>
        </w:rPr>
        <w:t>（三）部门整体支出绩效自评结果。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本部门整体支出全年预算数94.63万元，执行数94.63万元，完成预算的100%。根据部门整体支出绩效自评指标体系，本部门自评得分94分。本年度部门总体运行情况良好，未来将继续严格执行好财政资金的预决算制度。</w:t>
      </w:r>
    </w:p>
    <w:p>
      <w:pPr>
        <w:rPr>
          <w:rFonts w:hint="eastAsia" w:ascii="楷体" w:hAnsi="楷体" w:eastAsia="楷体" w:cs="楷体"/>
          <w:sz w:val="32"/>
          <w:szCs w:val="32"/>
          <w:lang w:eastAsia="zh-CN"/>
        </w:rPr>
      </w:pPr>
    </w:p>
    <w:p>
      <w:pPr>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object>
          <v:shape id="_x0000_i1025" o:spt="75" alt="" type="#_x0000_t75" style="height:560.15pt;width:510.8pt;" o:ole="t" filled="f" o:preferrelative="t" stroked="f" coordsize="21600,21600">
            <v:path/>
            <v:fill on="f" focussize="0,0"/>
            <v:stroke on="f"/>
            <v:imagedata r:id="rId11" o:title=""/>
            <o:lock v:ext="edit" aspectratio="t"/>
            <w10:wrap type="none"/>
            <w10:anchorlock/>
          </v:shape>
          <o:OLEObject Type="Embed" ProgID="Excel.Sheet.12" ShapeID="_x0000_i1025" DrawAspect="Content" ObjectID="_1468075725" r:id="rId10">
            <o:LockedField>false</o:LockedField>
          </o:OLEObject>
        </w:object>
      </w:r>
    </w:p>
    <w:p>
      <w:pPr>
        <w:pStyle w:val="2"/>
        <w:ind w:left="0" w:leftChars="0" w:firstLine="0" w:firstLineChars="0"/>
        <w:rPr>
          <w:rFonts w:hint="eastAsia" w:ascii="方正小标宋简体" w:hAnsi="方正小标宋简体" w:eastAsia="方正小标宋简体" w:cs="方正小标宋简体"/>
          <w:color w:val="000000"/>
          <w:kern w:val="0"/>
          <w:sz w:val="44"/>
          <w:szCs w:val="44"/>
          <w:lang w:bidi="ar"/>
        </w:rPr>
      </w:pPr>
      <w:bookmarkStart w:id="0" w:name="_GoBack"/>
      <w:bookmarkEnd w:id="0"/>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bidi="ar"/>
        </w:rPr>
        <w:t>第四部分 专业名词解释</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p>
      <w:pPr>
        <w:pBdr>
          <w:top w:val="none" w:color="auto" w:sz="0" w:space="0"/>
          <w:left w:val="none" w:color="auto" w:sz="0" w:space="0"/>
          <w:bottom w:val="none" w:color="auto" w:sz="0" w:space="0"/>
          <w:right w:val="none" w:color="auto" w:sz="0" w:space="0"/>
          <w:between w:val="none" w:color="auto" w:sz="0" w:space="0"/>
        </w:pBdr>
        <w:rPr>
          <w:rFonts w:hint="eastAsia" w:ascii="黑体" w:hAnsi="宋体" w:eastAsia="黑体"/>
          <w:color w:val="000000"/>
          <w:kern w:val="0"/>
          <w:sz w:val="44"/>
          <w:szCs w:val="44"/>
          <w:lang w:eastAsia="zh-CN" w:bidi="ar"/>
        </w:rPr>
      </w:pPr>
    </w:p>
    <w:sectPr>
      <w:footerReference r:id="rId4" w:type="default"/>
      <w:pgSz w:w="11906" w:h="16838"/>
      <w:pgMar w:top="1440" w:right="1080" w:bottom="1440" w:left="1080" w:header="851" w:footer="992" w:gutter="0"/>
      <w:pgNumType w:fmt="decimal" w:start="1"/>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modern"/>
    <w:pitch w:val="default"/>
    <w:sig w:usb0="A00002BF" w:usb1="38CF7CFA" w:usb2="00000016" w:usb3="00000000" w:csb0="0004000F" w:csb1="00000000"/>
  </w:font>
  <w:font w:name="Consolas">
    <w:panose1 w:val="020B0609020204030204"/>
    <w:charset w:val="00"/>
    <w:family w:val="auto"/>
    <w:pitch w:val="default"/>
    <w:sig w:usb0="E00006FF" w:usb1="0000FCFF" w:usb2="00000001" w:usb3="00000000" w:csb0="600001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posOffset>2434590</wp:posOffset>
              </wp:positionH>
              <wp:positionV relativeFrom="paragraph">
                <wp:posOffset>21590</wp:posOffset>
              </wp:positionV>
              <wp:extent cx="669290" cy="1682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69290" cy="168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1.7pt;margin-top:1.7pt;height:13.25pt;width:52.7pt;mso-position-horizontal-relative:margin;z-index:251660288;mso-width-relative:page;mso-height-relative:page;" filled="f" stroked="f" coordsize="21600,21600" o:gfxdata="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kBcPrYAAAACAEAAA8AAAAAAAAAAQAgAAAAIgAAAGRycy9kb3du&#10;cmV2LnhtbFBLAQIUABQAAAAIAIdO4kD8XcyUOAIAAGEEAAAOAAAAAAAAAAEAIAAAACcBAABkcnMv&#10;ZTJvRG9jLnhtbFBLBQYAAAAABgAGAFkBAADRBQAAAAA=&#10;">
              <v:fill on="f" focussize="0,0"/>
              <v:stroke on="f" weight="0.5pt"/>
              <v:imagedata o:title=""/>
              <o:lock v:ext="edit" aspectratio="f"/>
              <v:textbox inset="0mm,0mm,0mm,0mm">
                <w:txbxContent>
                  <w:p>
                    <w:pPr>
                      <w:pStyle w:val="6"/>
                      <w:rPr>
                        <w:rFonts w:hint="eastAsia" w:eastAsia="宋体"/>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59E29C"/>
    <w:multiLevelType w:val="singleLevel"/>
    <w:tmpl w:val="E559E29C"/>
    <w:lvl w:ilvl="0" w:tentative="0">
      <w:start w:val="2"/>
      <w:numFmt w:val="chineseCounting"/>
      <w:suff w:val="nothing"/>
      <w:lvlText w:val="%1、"/>
      <w:lvlJc w:val="left"/>
      <w:rPr>
        <w:rFonts w:hint="eastAsia"/>
      </w:rPr>
    </w:lvl>
  </w:abstractNum>
  <w:abstractNum w:abstractNumId="1">
    <w:nsid w:val="4A0CDB52"/>
    <w:multiLevelType w:val="singleLevel"/>
    <w:tmpl w:val="4A0CDB52"/>
    <w:lvl w:ilvl="0" w:tentative="0">
      <w:start w:val="1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HorizontalSpacing w:val="105"/>
  <w:drawingGridVerticalSpacing w:val="31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AA6038"/>
    <w:rsid w:val="00050E89"/>
    <w:rsid w:val="00146787"/>
    <w:rsid w:val="00164001"/>
    <w:rsid w:val="001D7568"/>
    <w:rsid w:val="002424C8"/>
    <w:rsid w:val="002A7893"/>
    <w:rsid w:val="003364E9"/>
    <w:rsid w:val="00452E2E"/>
    <w:rsid w:val="004B6D6E"/>
    <w:rsid w:val="00813F4A"/>
    <w:rsid w:val="00B80654"/>
    <w:rsid w:val="00E8111E"/>
    <w:rsid w:val="013B79AC"/>
    <w:rsid w:val="01BE4C9B"/>
    <w:rsid w:val="04CF0E33"/>
    <w:rsid w:val="051A6FF9"/>
    <w:rsid w:val="06C06B3A"/>
    <w:rsid w:val="0811163F"/>
    <w:rsid w:val="081B3445"/>
    <w:rsid w:val="08E42EAC"/>
    <w:rsid w:val="0C114008"/>
    <w:rsid w:val="0CB0770C"/>
    <w:rsid w:val="10BB651B"/>
    <w:rsid w:val="11563E82"/>
    <w:rsid w:val="118F1514"/>
    <w:rsid w:val="125E2600"/>
    <w:rsid w:val="12FE623D"/>
    <w:rsid w:val="132E46A0"/>
    <w:rsid w:val="134C6B85"/>
    <w:rsid w:val="135556F4"/>
    <w:rsid w:val="14411117"/>
    <w:rsid w:val="1535331F"/>
    <w:rsid w:val="1586116E"/>
    <w:rsid w:val="15F66FF8"/>
    <w:rsid w:val="167C0AB6"/>
    <w:rsid w:val="17062A57"/>
    <w:rsid w:val="188300D5"/>
    <w:rsid w:val="18BB4AD7"/>
    <w:rsid w:val="18F65A30"/>
    <w:rsid w:val="1B4A3FDA"/>
    <w:rsid w:val="1B524C98"/>
    <w:rsid w:val="1C5E2F73"/>
    <w:rsid w:val="1CF26DDC"/>
    <w:rsid w:val="1D6E0C0D"/>
    <w:rsid w:val="1DC14E0F"/>
    <w:rsid w:val="1E0737D1"/>
    <w:rsid w:val="1EF768A5"/>
    <w:rsid w:val="206244FD"/>
    <w:rsid w:val="20EF4457"/>
    <w:rsid w:val="210E5ACD"/>
    <w:rsid w:val="221C15BB"/>
    <w:rsid w:val="232226E9"/>
    <w:rsid w:val="234C08AF"/>
    <w:rsid w:val="23E4344C"/>
    <w:rsid w:val="25E172F5"/>
    <w:rsid w:val="269D1E34"/>
    <w:rsid w:val="27122A7F"/>
    <w:rsid w:val="27294297"/>
    <w:rsid w:val="28F13D66"/>
    <w:rsid w:val="29785A6B"/>
    <w:rsid w:val="297F5D58"/>
    <w:rsid w:val="2B2A7D80"/>
    <w:rsid w:val="2B547244"/>
    <w:rsid w:val="2C4779D6"/>
    <w:rsid w:val="2D1F3974"/>
    <w:rsid w:val="2D657953"/>
    <w:rsid w:val="2DB52EF2"/>
    <w:rsid w:val="318C1BE0"/>
    <w:rsid w:val="31AA6038"/>
    <w:rsid w:val="32281671"/>
    <w:rsid w:val="33887EE3"/>
    <w:rsid w:val="339701B3"/>
    <w:rsid w:val="34677C61"/>
    <w:rsid w:val="351F447A"/>
    <w:rsid w:val="36122CB4"/>
    <w:rsid w:val="36DA3B18"/>
    <w:rsid w:val="39F41BD5"/>
    <w:rsid w:val="3A5D3EC5"/>
    <w:rsid w:val="3B121AD1"/>
    <w:rsid w:val="3BAD591E"/>
    <w:rsid w:val="3C0D61D4"/>
    <w:rsid w:val="3CE6468F"/>
    <w:rsid w:val="3CFD0D2E"/>
    <w:rsid w:val="3D2A1E88"/>
    <w:rsid w:val="3D4A49E0"/>
    <w:rsid w:val="3F591B08"/>
    <w:rsid w:val="3FC62CFB"/>
    <w:rsid w:val="41603979"/>
    <w:rsid w:val="41CF436B"/>
    <w:rsid w:val="441530AA"/>
    <w:rsid w:val="443B2E6C"/>
    <w:rsid w:val="44C17FC4"/>
    <w:rsid w:val="4619368A"/>
    <w:rsid w:val="465C3DD6"/>
    <w:rsid w:val="46C84A21"/>
    <w:rsid w:val="494A629F"/>
    <w:rsid w:val="49A229B8"/>
    <w:rsid w:val="4A7A56E5"/>
    <w:rsid w:val="4BFE6B7B"/>
    <w:rsid w:val="4D2E7A48"/>
    <w:rsid w:val="4D6E0FDF"/>
    <w:rsid w:val="4EE4307A"/>
    <w:rsid w:val="50D01A70"/>
    <w:rsid w:val="5153143F"/>
    <w:rsid w:val="519F31D2"/>
    <w:rsid w:val="53CE3F8A"/>
    <w:rsid w:val="53E151E1"/>
    <w:rsid w:val="545A1FF8"/>
    <w:rsid w:val="546E29E0"/>
    <w:rsid w:val="54F12DEE"/>
    <w:rsid w:val="550D345A"/>
    <w:rsid w:val="55147C14"/>
    <w:rsid w:val="56D74010"/>
    <w:rsid w:val="5811216B"/>
    <w:rsid w:val="59660C08"/>
    <w:rsid w:val="5A832853"/>
    <w:rsid w:val="5B8D564A"/>
    <w:rsid w:val="5C0352AD"/>
    <w:rsid w:val="5C1914E0"/>
    <w:rsid w:val="5CE100E3"/>
    <w:rsid w:val="5DA553E7"/>
    <w:rsid w:val="5ECB53FC"/>
    <w:rsid w:val="5EE51784"/>
    <w:rsid w:val="60526BBD"/>
    <w:rsid w:val="60C47968"/>
    <w:rsid w:val="6123391A"/>
    <w:rsid w:val="62A94E04"/>
    <w:rsid w:val="63715383"/>
    <w:rsid w:val="640B0CB0"/>
    <w:rsid w:val="644E4FAE"/>
    <w:rsid w:val="65074FBA"/>
    <w:rsid w:val="66377D5A"/>
    <w:rsid w:val="676D3A1A"/>
    <w:rsid w:val="68BC11CE"/>
    <w:rsid w:val="6D980D19"/>
    <w:rsid w:val="6E1062EE"/>
    <w:rsid w:val="6FE72A63"/>
    <w:rsid w:val="702745DB"/>
    <w:rsid w:val="71086DB5"/>
    <w:rsid w:val="73441462"/>
    <w:rsid w:val="754F4216"/>
    <w:rsid w:val="75C31473"/>
    <w:rsid w:val="763B2EA0"/>
    <w:rsid w:val="76675743"/>
    <w:rsid w:val="7A601396"/>
    <w:rsid w:val="7A906D45"/>
    <w:rsid w:val="7B9F17AF"/>
    <w:rsid w:val="7C3E5E46"/>
    <w:rsid w:val="7EE759C2"/>
    <w:rsid w:val="7F37257F"/>
    <w:rsid w:val="7FA60A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等线" w:hAnsi="等线" w:eastAsia="等线" w:cs="Times New Roman"/>
      <w:szCs w:val="22"/>
    </w:rPr>
  </w:style>
  <w:style w:type="paragraph" w:styleId="3">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4">
    <w:name w:val="annotation text"/>
    <w:basedOn w:val="1"/>
    <w:link w:val="20"/>
    <w:qFormat/>
    <w:uiPriority w:val="0"/>
    <w:pPr>
      <w:jc w:val="left"/>
    </w:pPr>
  </w:style>
  <w:style w:type="paragraph" w:styleId="5">
    <w:name w:val="Balloon Text"/>
    <w:basedOn w:val="1"/>
    <w:link w:val="2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0" w:beforeAutospacing="0" w:after="150" w:afterAutospacing="0"/>
      <w:ind w:left="0" w:right="0"/>
      <w:jc w:val="left"/>
    </w:pPr>
    <w:rPr>
      <w:kern w:val="0"/>
      <w:sz w:val="24"/>
      <w:lang w:val="en-US" w:eastAsia="zh-CN" w:bidi="ar"/>
    </w:rPr>
  </w:style>
  <w:style w:type="paragraph" w:styleId="9">
    <w:name w:val="annotation subject"/>
    <w:basedOn w:val="4"/>
    <w:next w:val="4"/>
    <w:link w:val="21"/>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FollowedHyperlink"/>
    <w:basedOn w:val="12"/>
    <w:qFormat/>
    <w:uiPriority w:val="0"/>
    <w:rPr>
      <w:color w:val="09A8C5"/>
      <w:u w:val="none"/>
    </w:rPr>
  </w:style>
  <w:style w:type="character" w:styleId="15">
    <w:name w:val="Emphasis"/>
    <w:basedOn w:val="12"/>
    <w:qFormat/>
    <w:uiPriority w:val="0"/>
    <w:rPr>
      <w:i/>
    </w:rPr>
  </w:style>
  <w:style w:type="character" w:styleId="16">
    <w:name w:val="Hyperlink"/>
    <w:basedOn w:val="12"/>
    <w:qFormat/>
    <w:uiPriority w:val="0"/>
    <w:rPr>
      <w:color w:val="09A8C5"/>
      <w:u w:val="none"/>
    </w:rPr>
  </w:style>
  <w:style w:type="character" w:styleId="17">
    <w:name w:val="HTML Code"/>
    <w:basedOn w:val="12"/>
    <w:qFormat/>
    <w:uiPriority w:val="0"/>
    <w:rPr>
      <w:rFonts w:ascii="Consolas" w:hAnsi="Consolas" w:eastAsia="Consolas" w:cs="Consolas"/>
      <w:color w:val="DD1144"/>
      <w:sz w:val="21"/>
      <w:szCs w:val="21"/>
      <w:bdr w:val="single" w:color="E1E1E8" w:sz="6" w:space="0"/>
      <w:shd w:val="clear" w:fill="FBFBFB"/>
    </w:rPr>
  </w:style>
  <w:style w:type="character" w:styleId="18">
    <w:name w:val="annotation reference"/>
    <w:basedOn w:val="12"/>
    <w:qFormat/>
    <w:uiPriority w:val="0"/>
    <w:rPr>
      <w:sz w:val="21"/>
      <w:szCs w:val="21"/>
    </w:rPr>
  </w:style>
  <w:style w:type="character" w:styleId="19">
    <w:name w:val="HTML Cite"/>
    <w:basedOn w:val="12"/>
    <w:qFormat/>
    <w:uiPriority w:val="0"/>
  </w:style>
  <w:style w:type="character" w:customStyle="1" w:styleId="20">
    <w:name w:val="批注文字 字符"/>
    <w:basedOn w:val="12"/>
    <w:link w:val="4"/>
    <w:qFormat/>
    <w:uiPriority w:val="0"/>
    <w:rPr>
      <w:rFonts w:ascii="Calibri" w:hAnsi="Calibri" w:cs="黑体"/>
      <w:kern w:val="2"/>
      <w:sz w:val="21"/>
      <w:szCs w:val="24"/>
    </w:rPr>
  </w:style>
  <w:style w:type="character" w:customStyle="1" w:styleId="21">
    <w:name w:val="批注主题 字符"/>
    <w:basedOn w:val="20"/>
    <w:link w:val="9"/>
    <w:qFormat/>
    <w:uiPriority w:val="0"/>
    <w:rPr>
      <w:rFonts w:ascii="Calibri" w:hAnsi="Calibri" w:cs="黑体"/>
      <w:b/>
      <w:bCs/>
      <w:kern w:val="2"/>
      <w:sz w:val="21"/>
      <w:szCs w:val="24"/>
    </w:rPr>
  </w:style>
  <w:style w:type="character" w:customStyle="1" w:styleId="22">
    <w:name w:val="批注框文本 字符"/>
    <w:basedOn w:val="12"/>
    <w:link w:val="5"/>
    <w:qFormat/>
    <w:uiPriority w:val="0"/>
    <w:rPr>
      <w:rFonts w:ascii="Calibri" w:hAnsi="Calibri" w:cs="黑体"/>
      <w:kern w:val="2"/>
      <w:sz w:val="18"/>
      <w:szCs w:val="18"/>
    </w:rPr>
  </w:style>
  <w:style w:type="character" w:customStyle="1" w:styleId="23">
    <w:name w:val="article-nav-next"/>
    <w:basedOn w:val="12"/>
    <w:qFormat/>
    <w:uiPriority w:val="0"/>
  </w:style>
  <w:style w:type="character" w:customStyle="1" w:styleId="24">
    <w:name w:val="position"/>
    <w:basedOn w:val="12"/>
    <w:qFormat/>
    <w:uiPriority w:val="0"/>
    <w:rPr>
      <w:color w:val="FFFFFF"/>
      <w:sz w:val="18"/>
      <w:szCs w:val="18"/>
      <w:shd w:val="clear" w:fill="BA0711"/>
    </w:rPr>
  </w:style>
  <w:style w:type="character" w:customStyle="1" w:styleId="25">
    <w:name w:val="dot"/>
    <w:basedOn w:val="12"/>
    <w:qFormat/>
    <w:uiPriority w:val="0"/>
    <w:rPr>
      <w:b/>
      <w:color w:val="CCCCCC"/>
      <w:sz w:val="37"/>
      <w:szCs w:val="37"/>
    </w:rPr>
  </w:style>
  <w:style w:type="character" w:customStyle="1" w:styleId="26">
    <w:name w:val="sub-title"/>
    <w:basedOn w:val="12"/>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numCache>
            </c:numRef>
          </c:cat>
          <c:val>
            <c:numRef>
              <c:f>Sheet1!$B$2</c:f>
              <c:numCache>
                <c:formatCode>General</c:formatCode>
                <c:ptCount val="1"/>
                <c:pt idx="0">
                  <c:v>72.65</c:v>
                </c:pt>
              </c:numCache>
            </c:numRef>
          </c:val>
        </c:ser>
        <c:ser>
          <c:idx val="1"/>
          <c:order val="1"/>
          <c:tx>
            <c:strRef>
              <c:f>Sheet1!$C$1</c:f>
              <c:strCache>
                <c:ptCount val="1"/>
                <c:pt idx="0">
                  <c:v>2020</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numCache>
            </c:numRef>
          </c:cat>
          <c:val>
            <c:numRef>
              <c:f>Sheet1!$C$2</c:f>
              <c:numCache>
                <c:formatCode>General</c:formatCode>
                <c:ptCount val="1"/>
                <c:pt idx="0">
                  <c:v>94.63</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163"/>
        <c:overlap val="-100"/>
        <c:axId val="984891414"/>
        <c:axId val="50422201"/>
      </c:barChart>
      <c:catAx>
        <c:axId val="98489141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50422201"/>
        <c:crosses val="autoZero"/>
        <c:auto val="1"/>
        <c:lblAlgn val="ctr"/>
        <c:lblOffset val="200"/>
        <c:noMultiLvlLbl val="0"/>
      </c:catAx>
      <c:valAx>
        <c:axId val="5042220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4891414"/>
        <c:crosses val="autoZero"/>
        <c:crossBetween val="between"/>
      </c:valAx>
      <c:spPr>
        <a:noFill/>
        <a:ln>
          <a:noFill/>
        </a:ln>
        <a:effectLst/>
      </c:spPr>
    </c:plotArea>
    <c:legend>
      <c:legendPos val="b"/>
      <c:legendEntry>
        <c:idx val="2"/>
        <c:delete val="1"/>
      </c:legendEntry>
      <c:layout>
        <c:manualLayout>
          <c:xMode val="edge"/>
          <c:yMode val="edge"/>
          <c:x val="0.3184375"/>
          <c:y val="0.92966666666666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numCache>
            </c:numRef>
          </c:cat>
          <c:val>
            <c:numRef>
              <c:f>Sheet1!$B$2</c:f>
              <c:numCache>
                <c:formatCode>General</c:formatCode>
                <c:ptCount val="1"/>
                <c:pt idx="0">
                  <c:v>72.65</c:v>
                </c:pt>
              </c:numCache>
            </c:numRef>
          </c:val>
        </c:ser>
        <c:ser>
          <c:idx val="1"/>
          <c:order val="1"/>
          <c:tx>
            <c:strRef>
              <c:f>Sheet1!$C$1</c:f>
              <c:strCache>
                <c:ptCount val="1"/>
                <c:pt idx="0">
                  <c:v>2020</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numCache>
            </c:numRef>
          </c:cat>
          <c:val>
            <c:numRef>
              <c:f>Sheet1!$C$2</c:f>
              <c:numCache>
                <c:formatCode>General</c:formatCode>
                <c:ptCount val="1"/>
                <c:pt idx="0">
                  <c:v>94.63</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163"/>
        <c:overlap val="-100"/>
        <c:axId val="984891414"/>
        <c:axId val="50422201"/>
      </c:barChart>
      <c:catAx>
        <c:axId val="98489141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50422201"/>
        <c:crosses val="autoZero"/>
        <c:auto val="1"/>
        <c:lblAlgn val="ctr"/>
        <c:lblOffset val="200"/>
        <c:noMultiLvlLbl val="0"/>
      </c:catAx>
      <c:valAx>
        <c:axId val="5042220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4891414"/>
        <c:crosses val="autoZero"/>
        <c:crossBetween val="between"/>
      </c:valAx>
      <c:spPr>
        <a:noFill/>
        <a:ln>
          <a:noFill/>
        </a:ln>
        <a:effectLst/>
      </c:spPr>
    </c:plotArea>
    <c:legend>
      <c:legendPos val="b"/>
      <c:legendEntry>
        <c:idx val="2"/>
        <c:delete val="1"/>
      </c:legendEntry>
      <c:layout>
        <c:manualLayout>
          <c:xMode val="edge"/>
          <c:yMode val="edge"/>
          <c:x val="0.3184375"/>
          <c:y val="0.92966666666666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numCache>
            </c:numRef>
          </c:cat>
          <c:val>
            <c:numRef>
              <c:f>Sheet1!$B$2</c:f>
              <c:numCache>
                <c:formatCode>General</c:formatCode>
                <c:ptCount val="1"/>
                <c:pt idx="0">
                  <c:v>72.65</c:v>
                </c:pt>
              </c:numCache>
            </c:numRef>
          </c:val>
        </c:ser>
        <c:ser>
          <c:idx val="1"/>
          <c:order val="1"/>
          <c:tx>
            <c:strRef>
              <c:f>Sheet1!$C$1</c:f>
              <c:strCache>
                <c:ptCount val="1"/>
                <c:pt idx="0">
                  <c:v>2020</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numCache>
            </c:numRef>
          </c:cat>
          <c:val>
            <c:numRef>
              <c:f>Sheet1!$C$2</c:f>
              <c:numCache>
                <c:formatCode>General</c:formatCode>
                <c:ptCount val="1"/>
                <c:pt idx="0">
                  <c:v>94.63</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163"/>
        <c:overlap val="-100"/>
        <c:axId val="984891414"/>
        <c:axId val="50422201"/>
      </c:barChart>
      <c:catAx>
        <c:axId val="98489141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50422201"/>
        <c:crosses val="autoZero"/>
        <c:auto val="1"/>
        <c:lblAlgn val="ctr"/>
        <c:lblOffset val="200"/>
        <c:noMultiLvlLbl val="0"/>
      </c:catAx>
      <c:valAx>
        <c:axId val="5042220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4891414"/>
        <c:crosses val="autoZero"/>
        <c:crossBetween val="between"/>
      </c:valAx>
      <c:spPr>
        <a:noFill/>
        <a:ln>
          <a:noFill/>
        </a:ln>
        <a:effectLst/>
      </c:spPr>
    </c:plotArea>
    <c:legend>
      <c:legendPos val="b"/>
      <c:legendEntry>
        <c:idx val="2"/>
        <c:delete val="1"/>
      </c:legendEntry>
      <c:layout>
        <c:manualLayout>
          <c:xMode val="edge"/>
          <c:yMode val="edge"/>
          <c:x val="0.3184375"/>
          <c:y val="0.92966666666666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numCache>
            </c:numRef>
          </c:cat>
          <c:val>
            <c:numRef>
              <c:f>Sheet1!$B$2</c:f>
              <c:numCache>
                <c:formatCode>General</c:formatCode>
                <c:ptCount val="1"/>
                <c:pt idx="0">
                  <c:v>72.65</c:v>
                </c:pt>
              </c:numCache>
            </c:numRef>
          </c:val>
        </c:ser>
        <c:ser>
          <c:idx val="1"/>
          <c:order val="1"/>
          <c:tx>
            <c:strRef>
              <c:f>Sheet1!$C$1</c:f>
              <c:strCache>
                <c:ptCount val="1"/>
                <c:pt idx="0">
                  <c:v>2020</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numCache>
            </c:numRef>
          </c:cat>
          <c:val>
            <c:numRef>
              <c:f>Sheet1!$C$2</c:f>
              <c:numCache>
                <c:formatCode>General</c:formatCode>
                <c:ptCount val="1"/>
                <c:pt idx="0">
                  <c:v>94.63</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163"/>
        <c:overlap val="-100"/>
        <c:axId val="984891414"/>
        <c:axId val="50422201"/>
      </c:barChart>
      <c:catAx>
        <c:axId val="98489141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50422201"/>
        <c:crosses val="autoZero"/>
        <c:auto val="1"/>
        <c:lblAlgn val="ctr"/>
        <c:lblOffset val="200"/>
        <c:noMultiLvlLbl val="0"/>
      </c:catAx>
      <c:valAx>
        <c:axId val="50422201"/>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4891414"/>
        <c:crosses val="autoZero"/>
        <c:crossBetween val="between"/>
      </c:valAx>
      <c:spPr>
        <a:noFill/>
        <a:ln>
          <a:noFill/>
        </a:ln>
        <a:effectLst/>
      </c:spPr>
    </c:plotArea>
    <c:legend>
      <c:legendPos val="b"/>
      <c:legendEntry>
        <c:idx val="2"/>
        <c:delete val="1"/>
      </c:legendEntry>
      <c:layout>
        <c:manualLayout>
          <c:xMode val="edge"/>
          <c:yMode val="edge"/>
          <c:x val="0.3184375"/>
          <c:y val="0.92966666666666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1312</Words>
  <Characters>7483</Characters>
  <Lines>62</Lines>
  <Paragraphs>17</Paragraphs>
  <TotalTime>216</TotalTime>
  <ScaleCrop>false</ScaleCrop>
  <LinksUpToDate>false</LinksUpToDate>
  <CharactersWithSpaces>8778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2020-07-23T09:23:00Z</dcterms:created>
  <dc:creator>Administrator</dc:creator>
  <cp:lastModifiedBy>阮武</cp:lastModifiedBy>
  <cp:lastPrinted>2020-07-28T02:12:00Z</cp:lastPrinted>
  <dcterms:modified xsi:type="dcterms:W3CDTF">2021-09-02T03:04:53Z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9A12013AD27A4DB4B2B93ADD2B4AE959</vt:lpwstr>
  </property>
</Properties>
</file>