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陕西</w:t>
      </w:r>
      <w:r>
        <w:rPr>
          <w:rFonts w:hint="eastAsia" w:ascii="方正小标宋简体" w:hAnsi="方正小标宋简体" w:eastAsia="方正小标宋简体" w:cs="方正小标宋简体"/>
          <w:b w:val="0"/>
          <w:bCs w:val="0"/>
          <w:sz w:val="48"/>
          <w:szCs w:val="48"/>
          <w:lang w:eastAsia="zh-CN"/>
        </w:rPr>
        <w:t>工运学院</w:t>
      </w: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val="en-US"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w:t>
      </w:r>
      <w:r>
        <w:rPr>
          <w:rFonts w:hint="eastAsia" w:ascii="宋体" w:hAnsi="宋体" w:cs="宋体"/>
          <w:b/>
          <w:bCs/>
          <w:sz w:val="32"/>
          <w:szCs w:val="32"/>
          <w:lang w:val="en-US" w:eastAsia="zh-CN"/>
        </w:rPr>
        <w:t>已审签</w:t>
      </w: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 xml:space="preserve">第一部分  </w:t>
      </w:r>
      <w:r>
        <w:rPr>
          <w:rFonts w:hint="eastAsia" w:ascii="方正小标宋简体" w:hAnsi="方正小标宋简体" w:eastAsia="方正小标宋简体" w:cs="方正小标宋简体"/>
          <w:color w:val="000000"/>
          <w:kern w:val="0"/>
          <w:sz w:val="32"/>
          <w:szCs w:val="32"/>
          <w:lang w:eastAsia="zh-CN" w:bidi="ar"/>
        </w:rPr>
        <w:t>单位</w:t>
      </w:r>
      <w:r>
        <w:rPr>
          <w:rFonts w:hint="eastAsia" w:ascii="方正小标宋简体" w:hAnsi="方正小标宋简体" w:eastAsia="方正小标宋简体" w:cs="方正小标宋简体"/>
          <w:color w:val="000000"/>
          <w:kern w:val="0"/>
          <w:sz w:val="32"/>
          <w:szCs w:val="32"/>
          <w:lang w:bidi="ar"/>
        </w:rPr>
        <w:t>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w:t>
      </w:r>
      <w:r>
        <w:rPr>
          <w:rFonts w:hint="eastAsia" w:ascii="仿宋" w:hAnsi="仿宋" w:eastAsia="仿宋" w:cs="楷体"/>
          <w:color w:val="000000"/>
          <w:kern w:val="0"/>
          <w:sz w:val="32"/>
          <w:szCs w:val="32"/>
          <w:lang w:eastAsia="zh-CN" w:bidi="ar"/>
        </w:rPr>
        <w:t>单位</w:t>
      </w:r>
      <w:r>
        <w:rPr>
          <w:rFonts w:hint="eastAsia" w:ascii="仿宋" w:hAnsi="仿宋" w:eastAsia="仿宋" w:cs="楷体"/>
          <w:color w:val="000000"/>
          <w:kern w:val="0"/>
          <w:sz w:val="32"/>
          <w:szCs w:val="32"/>
          <w:lang w:bidi="ar"/>
        </w:rPr>
        <w:t>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w:t>
      </w:r>
      <w:r>
        <w:rPr>
          <w:rFonts w:hint="eastAsia" w:ascii="仿宋" w:hAnsi="仿宋" w:eastAsia="仿宋" w:cs="楷体"/>
          <w:color w:val="000000"/>
          <w:kern w:val="0"/>
          <w:sz w:val="32"/>
          <w:szCs w:val="32"/>
          <w:lang w:eastAsia="zh-CN" w:bidi="ar"/>
        </w:rPr>
        <w:t>单位</w:t>
      </w:r>
      <w:r>
        <w:rPr>
          <w:rFonts w:hint="eastAsia" w:ascii="仿宋" w:hAnsi="仿宋" w:eastAsia="仿宋" w:cs="楷体"/>
          <w:color w:val="000000"/>
          <w:kern w:val="0"/>
          <w:sz w:val="32"/>
          <w:szCs w:val="32"/>
          <w:lang w:bidi="ar"/>
        </w:rPr>
        <w:t>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w:t>
      </w:r>
      <w:r>
        <w:rPr>
          <w:rFonts w:hint="eastAsia" w:ascii="仿宋" w:hAnsi="仿宋" w:eastAsia="仿宋" w:cs="楷体"/>
          <w:color w:val="000000"/>
          <w:kern w:val="0"/>
          <w:sz w:val="32"/>
          <w:szCs w:val="32"/>
          <w:lang w:eastAsia="zh-CN" w:bidi="ar"/>
        </w:rPr>
        <w:t>单位</w:t>
      </w:r>
      <w:r>
        <w:rPr>
          <w:rFonts w:hint="eastAsia" w:ascii="仿宋" w:hAnsi="仿宋" w:eastAsia="仿宋" w:cs="楷体"/>
          <w:color w:val="000000"/>
          <w:kern w:val="0"/>
          <w:sz w:val="32"/>
          <w:szCs w:val="32"/>
          <w:lang w:bidi="ar"/>
        </w:rPr>
        <w:t>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w:t>
      </w:r>
      <w:r>
        <w:rPr>
          <w:rFonts w:hint="eastAsia" w:ascii="方正小标宋简体" w:hAnsi="方正小标宋简体" w:eastAsia="方正小标宋简体" w:cs="方正小标宋简体"/>
          <w:color w:val="000000"/>
          <w:kern w:val="0"/>
          <w:sz w:val="32"/>
          <w:szCs w:val="32"/>
          <w:lang w:eastAsia="zh-CN" w:bidi="ar"/>
        </w:rPr>
        <w:t>单位</w:t>
      </w:r>
      <w:r>
        <w:rPr>
          <w:rFonts w:hint="eastAsia" w:ascii="方正小标宋简体" w:hAnsi="方正小标宋简体" w:eastAsia="方正小标宋简体" w:cs="方正小标宋简体"/>
          <w:color w:val="000000"/>
          <w:kern w:val="0"/>
          <w:sz w:val="32"/>
          <w:szCs w:val="32"/>
          <w:lang w:bidi="ar"/>
        </w:rPr>
        <w:t>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w:t>
      </w:r>
      <w:r>
        <w:rPr>
          <w:rFonts w:hint="eastAsia" w:ascii="方正小标宋简体" w:hAnsi="方正小标宋简体" w:eastAsia="方正小标宋简体" w:cs="方正小标宋简体"/>
          <w:color w:val="000000"/>
          <w:kern w:val="0"/>
          <w:sz w:val="32"/>
          <w:szCs w:val="32"/>
          <w:lang w:eastAsia="zh-CN" w:bidi="ar"/>
        </w:rPr>
        <w:t>单位</w:t>
      </w:r>
      <w:r>
        <w:rPr>
          <w:rFonts w:hint="eastAsia" w:ascii="方正小标宋简体" w:hAnsi="方正小标宋简体" w:eastAsia="方正小标宋简体" w:cs="方正小标宋简体"/>
          <w:color w:val="000000"/>
          <w:kern w:val="0"/>
          <w:sz w:val="32"/>
          <w:szCs w:val="32"/>
          <w:lang w:bidi="ar"/>
        </w:rPr>
        <w:t>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第一部分 </w:t>
      </w:r>
      <w:r>
        <w:rPr>
          <w:rFonts w:hint="eastAsia" w:ascii="方正小标宋简体" w:hAnsi="方正小标宋简体" w:eastAsia="方正小标宋简体" w:cs="方正小标宋简体"/>
          <w:color w:val="000000"/>
          <w:kern w:val="0"/>
          <w:sz w:val="44"/>
          <w:szCs w:val="44"/>
          <w:lang w:eastAsia="zh-CN" w:bidi="ar"/>
        </w:rPr>
        <w:t>单位</w:t>
      </w:r>
      <w:r>
        <w:rPr>
          <w:rFonts w:hint="eastAsia" w:ascii="方正小标宋简体" w:hAnsi="方正小标宋简体" w:eastAsia="方正小标宋简体" w:cs="方正小标宋简体"/>
          <w:color w:val="000000"/>
          <w:kern w:val="0"/>
          <w:sz w:val="44"/>
          <w:szCs w:val="44"/>
          <w:lang w:bidi="ar"/>
        </w:rPr>
        <w:t>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w:t>
      </w:r>
      <w:r>
        <w:rPr>
          <w:rFonts w:hint="eastAsia" w:ascii="黑体" w:hAnsi="宋体" w:eastAsia="黑体"/>
          <w:color w:val="000000"/>
          <w:kern w:val="0"/>
          <w:sz w:val="32"/>
          <w:szCs w:val="32"/>
          <w:lang w:eastAsia="zh-CN" w:bidi="ar"/>
        </w:rPr>
        <w:t>单位</w:t>
      </w:r>
      <w:r>
        <w:rPr>
          <w:rFonts w:hint="eastAsia" w:ascii="黑体" w:hAnsi="宋体" w:eastAsia="黑体"/>
          <w:color w:val="000000"/>
          <w:kern w:val="0"/>
          <w:sz w:val="32"/>
          <w:szCs w:val="32"/>
          <w:lang w:bidi="ar"/>
        </w:rPr>
        <w:t>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陕西工运学院前身为1950年创建的西北总工会干部学校，后为陕西省总工会干部学校。1985年5月，经教育部备案、陕西省政府批准，改为陕西工运学院。学院属管理干部学院性质，全额拨款事业单位、副厅级建制，举办单位为省总工会，业务主管为省总工会、省教育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院2020年学院编制70人，现有教职工74人，在编人员39人，人事代理人员35人。在岗专任教师40人，其中教授2人，副教授7人，讲师22人，助教9人。教师中45岁以下28人，占比68%。教师中拥有研究生学历、硕士学位的22人，占比53%。</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学院西北一路校区面积13亩，现有教学培训楼二栋，学员公寓148间，床位224个，有可容纳240人和120人的报告厅各1个，可容纳100人的培训教室3间，其它教室2间，2个餐厅可供300人同时用餐。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院遵循“服务工会、服务职工、服务社会”的办学宗旨，经过几代人的不懈努力，已经成为陕西工会干部教育培训的主阵地，全国工会干部教育培训示范基地、全国工会农民工技能培训示范基地、陕西省养老人才培训基地、陕西工运理论研究基地、国家职业资格示范鉴定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年来，学院在省总党组的正确领导下，认真贯彻落实中央《干部教育培训工作条例》、《关于加强和改进党的群团工作的意见》以及全总《关于进一步加强工会干部教育培训工作的意见》精神，进一步强化政治站位，明确办学定位和发展思路，突出主业，凸显特色，发挥优势，打造品牌，不断提升培训质量和办学水平，谋求新发展，实现新跨越。</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（二）内设机构</w:t>
      </w:r>
      <w:r>
        <w:rPr>
          <w:rFonts w:hint="eastAsia" w:ascii="楷体" w:hAnsi="楷体" w:eastAsia="楷体" w:cs="楷体"/>
          <w:b/>
          <w:bCs/>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2020年学院内设机构：（1）党委（行政）办公室；（2）教务处；（3）财务处；（4）教学科研部；（5）培训一部；（6）培训二部；（7）培训三部；（8）网络学院（电大）；（9）总务处及服务中心。</w:t>
      </w:r>
    </w:p>
    <w:p>
      <w:pPr>
        <w:widowControl/>
        <w:numPr>
          <w:ilvl w:val="0"/>
          <w:numId w:val="1"/>
        </w:numPr>
        <w:ind w:firstLine="640" w:firstLineChars="200"/>
        <w:jc w:val="left"/>
        <w:rPr>
          <w:rFonts w:hint="eastAsia" w:ascii="黑体" w:hAnsi="宋体" w:eastAsia="黑体"/>
          <w:color w:val="000000"/>
          <w:kern w:val="0"/>
          <w:sz w:val="32"/>
          <w:szCs w:val="32"/>
          <w:lang w:bidi="ar"/>
        </w:rPr>
      </w:pPr>
      <w:r>
        <w:rPr>
          <w:rFonts w:hint="eastAsia" w:ascii="黑体" w:hAnsi="宋体" w:eastAsia="黑体"/>
          <w:color w:val="000000"/>
          <w:kern w:val="0"/>
          <w:sz w:val="32"/>
          <w:szCs w:val="32"/>
          <w:lang w:bidi="ar"/>
        </w:rPr>
        <w:t>决算单位构成</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年决算编制范围</w:t>
      </w:r>
      <w:r>
        <w:rPr>
          <w:rFonts w:hint="eastAsia" w:ascii="仿宋_GB2312" w:hAnsi="仿宋_GB2312" w:eastAsia="仿宋_GB2312" w:cs="仿宋_GB2312"/>
          <w:sz w:val="32"/>
          <w:szCs w:val="32"/>
          <w:lang w:eastAsia="zh-CN"/>
        </w:rPr>
        <w:t>为</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陕西工运学院</w:t>
      </w:r>
    </w:p>
    <w:p>
      <w:pPr>
        <w:ind w:firstLine="640"/>
        <w:rPr>
          <w:rFonts w:ascii="黑体" w:hAnsi="黑体" w:eastAsia="黑体"/>
          <w:b/>
          <w:bCs/>
          <w:sz w:val="32"/>
          <w:szCs w:val="32"/>
        </w:rPr>
      </w:pPr>
      <w:r>
        <w:rPr>
          <w:rFonts w:hint="eastAsia" w:ascii="黑体" w:hAnsi="黑体" w:eastAsia="黑体"/>
          <w:b/>
          <w:bCs/>
          <w:sz w:val="32"/>
          <w:szCs w:val="32"/>
        </w:rPr>
        <w:t>三、</w:t>
      </w:r>
      <w:r>
        <w:rPr>
          <w:rFonts w:hint="eastAsia" w:ascii="黑体" w:hAnsi="黑体" w:eastAsia="黑体"/>
          <w:b/>
          <w:bCs/>
          <w:sz w:val="32"/>
          <w:szCs w:val="32"/>
          <w:lang w:eastAsia="zh-CN"/>
        </w:rPr>
        <w:t>单位</w:t>
      </w:r>
      <w:r>
        <w:rPr>
          <w:rFonts w:hint="eastAsia" w:ascii="黑体" w:hAnsi="黑体" w:eastAsia="黑体"/>
          <w:b/>
          <w:bCs/>
          <w:sz w:val="32"/>
          <w:szCs w:val="32"/>
        </w:rPr>
        <w:t>人员情况</w:t>
      </w:r>
    </w:p>
    <w:p>
      <w:pPr>
        <w:keepNext w:val="0"/>
        <w:keepLines w:val="0"/>
        <w:pageBreakBefore w:val="0"/>
        <w:widowControl w:val="0"/>
        <w:kinsoku/>
        <w:wordWrap/>
        <w:overflowPunct/>
        <w:topLinePunct w:val="0"/>
        <w:autoSpaceDE/>
        <w:autoSpaceDN/>
        <w:bidi w:val="0"/>
        <w:adjustRightInd/>
        <w:snapToGrid/>
        <w:spacing w:line="540" w:lineRule="exact"/>
        <w:ind w:firstLine="641"/>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highlight w:val="none"/>
        </w:rPr>
        <w:t>单位管理的离退休人员</w:t>
      </w:r>
      <w:r>
        <w:rPr>
          <w:rFonts w:hint="eastAsia" w:ascii="仿宋_GB2312" w:hAnsi="仿宋_GB2312" w:eastAsia="仿宋_GB2312" w:cs="仿宋_GB2312"/>
          <w:sz w:val="32"/>
          <w:szCs w:val="32"/>
          <w:highlight w:val="none"/>
          <w:lang w:val="en-US" w:eastAsia="zh-CN"/>
        </w:rPr>
        <w:t>76</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离休人员6人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jc w:val="both"/>
        <w:rPr>
          <w:rFonts w:hint="eastAsia" w:ascii="方正小标宋简体" w:hAnsi="方正小标宋简体" w:eastAsia="方正小标宋简体" w:cs="方正小标宋简体"/>
          <w:color w:val="000000"/>
          <w:kern w:val="0"/>
          <w:sz w:val="44"/>
          <w:szCs w:val="44"/>
          <w:lang w:bidi="ar"/>
        </w:rPr>
      </w:pPr>
      <w:r>
        <w:drawing>
          <wp:anchor distT="0" distB="0" distL="114300" distR="114300" simplePos="0" relativeHeight="251663360" behindDoc="0" locked="0" layoutInCell="1" allowOverlap="1">
            <wp:simplePos x="0" y="0"/>
            <wp:positionH relativeFrom="column">
              <wp:posOffset>596900</wp:posOffset>
            </wp:positionH>
            <wp:positionV relativeFrom="paragraph">
              <wp:posOffset>127635</wp:posOffset>
            </wp:positionV>
            <wp:extent cx="4411980" cy="2190115"/>
            <wp:effectExtent l="4445" t="4445" r="22225" b="15240"/>
            <wp:wrapNone/>
            <wp:docPr id="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jc w:val="center"/>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widowControl w:val="0"/>
        <w:numPr>
          <w:ilvl w:val="0"/>
          <w:numId w:val="2"/>
        </w:numPr>
        <w:kinsoku/>
        <w:wordWrap/>
        <w:overflowPunct/>
        <w:topLinePunct w:val="0"/>
        <w:autoSpaceDE/>
        <w:autoSpaceDN/>
        <w:bidi w:val="0"/>
        <w:adjustRightInd/>
        <w:snapToGrid/>
        <w:spacing w:before="316" w:beforeLines="100"/>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p>
      <w:pPr>
        <w:keepNext w:val="0"/>
        <w:keepLines w:val="0"/>
        <w:pageBreakBefore w:val="0"/>
        <w:widowControl w:val="0"/>
        <w:numPr>
          <w:ilvl w:val="0"/>
          <w:numId w:val="2"/>
        </w:numPr>
        <w:kinsoku/>
        <w:wordWrap/>
        <w:overflowPunct/>
        <w:topLinePunct w:val="0"/>
        <w:autoSpaceDE/>
        <w:autoSpaceDN/>
        <w:bidi w:val="0"/>
        <w:adjustRightInd/>
        <w:snapToGrid/>
        <w:spacing w:before="316" w:beforeLines="100"/>
        <w:jc w:val="center"/>
        <w:textAlignment w:val="auto"/>
        <w:rPr>
          <w:rFonts w:hint="eastAsia" w:ascii="方正小标宋简体" w:hAnsi="方正小标宋简体" w:eastAsia="方正小标宋简体" w:cs="方正小标宋简体"/>
          <w:color w:val="000000"/>
          <w:kern w:val="0"/>
          <w:sz w:val="44"/>
          <w:szCs w:val="44"/>
          <w:lang w:bidi="ar"/>
        </w:rPr>
      </w:pPr>
    </w:p>
    <w:tbl>
      <w:tblPr>
        <w:tblStyle w:val="6"/>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5394"/>
        <w:gridCol w:w="112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黑体" w:hAnsi="宋体" w:eastAsia="黑体"/>
                <w:color w:val="000000"/>
                <w:kern w:val="0"/>
                <w:sz w:val="24"/>
                <w:lang w:bidi="ar"/>
              </w:rPr>
              <w:t>序号</w:t>
            </w:r>
          </w:p>
        </w:tc>
        <w:tc>
          <w:tcPr>
            <w:tcW w:w="5394"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黑体" w:hAnsi="宋体" w:eastAsia="黑体"/>
                <w:color w:val="000000"/>
                <w:kern w:val="0"/>
                <w:sz w:val="24"/>
                <w:lang w:bidi="ar"/>
              </w:rPr>
              <w:t>内容</w:t>
            </w:r>
          </w:p>
        </w:tc>
        <w:tc>
          <w:tcPr>
            <w:tcW w:w="1128" w:type="dxa"/>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黑体" w:hAnsi="宋体" w:eastAsia="黑体"/>
                <w:color w:val="000000"/>
                <w:kern w:val="0"/>
                <w:sz w:val="24"/>
                <w:lang w:bidi="ar"/>
              </w:rPr>
              <w:t>空表</w:t>
            </w:r>
          </w:p>
        </w:tc>
        <w:tc>
          <w:tcPr>
            <w:tcW w:w="1489"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表1</w:t>
            </w:r>
          </w:p>
        </w:tc>
        <w:tc>
          <w:tcPr>
            <w:tcW w:w="5394" w:type="dxa"/>
            <w:vAlign w:val="center"/>
          </w:tcPr>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收入支出决算总表</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否</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表2</w:t>
            </w:r>
          </w:p>
        </w:tc>
        <w:tc>
          <w:tcPr>
            <w:tcW w:w="5394" w:type="dxa"/>
            <w:vAlign w:val="center"/>
          </w:tcPr>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收入决算表</w:t>
            </w:r>
          </w:p>
        </w:tc>
        <w:tc>
          <w:tcPr>
            <w:tcW w:w="1128" w:type="dxa"/>
            <w:vAlign w:val="center"/>
          </w:tcPr>
          <w:p>
            <w:pPr>
              <w:jc w:val="center"/>
              <w:rPr>
                <w:rFonts w:ascii="宋体" w:hAnsi="宋体" w:cs="宋体"/>
                <w:color w:val="000000"/>
                <w:sz w:val="24"/>
              </w:rPr>
            </w:pPr>
          </w:p>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否</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表3</w:t>
            </w:r>
          </w:p>
        </w:tc>
        <w:tc>
          <w:tcPr>
            <w:tcW w:w="5394" w:type="dxa"/>
            <w:vAlign w:val="center"/>
          </w:tcPr>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支出决算表</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否</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表4</w:t>
            </w:r>
          </w:p>
        </w:tc>
        <w:tc>
          <w:tcPr>
            <w:tcW w:w="5394" w:type="dxa"/>
            <w:vAlign w:val="center"/>
          </w:tcPr>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财政拨款收入支出决算总表</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否</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表5</w:t>
            </w:r>
          </w:p>
        </w:tc>
        <w:tc>
          <w:tcPr>
            <w:tcW w:w="5394" w:type="dxa"/>
            <w:vAlign w:val="center"/>
          </w:tcPr>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一般公共预算财政拨款支出决算表（按功能分类科目）</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否</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表6</w:t>
            </w:r>
          </w:p>
        </w:tc>
        <w:tc>
          <w:tcPr>
            <w:tcW w:w="5394" w:type="dxa"/>
            <w:vAlign w:val="center"/>
          </w:tcPr>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一般公共预算财政拨款基本支出决算表 （按经济分类科目）</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否</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表7</w:t>
            </w:r>
          </w:p>
        </w:tc>
        <w:tc>
          <w:tcPr>
            <w:tcW w:w="5394" w:type="dxa"/>
            <w:vAlign w:val="center"/>
          </w:tcPr>
          <w:p>
            <w:pPr>
              <w:widowControl/>
              <w:jc w:val="left"/>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一般公共预算财政拨款“三公”经费及会议费、培训费支出决算表</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是</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未涉及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表8</w:t>
            </w:r>
          </w:p>
        </w:tc>
        <w:tc>
          <w:tcPr>
            <w:tcW w:w="5394" w:type="dxa"/>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bidi="ar"/>
              </w:rPr>
              <w:t>决算表</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是</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未涉及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127" w:type="dxa"/>
            <w:vAlign w:val="center"/>
          </w:tcPr>
          <w:p>
            <w:pPr>
              <w:widowControl/>
              <w:jc w:val="center"/>
              <w:textAlignment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5394" w:type="dxa"/>
            <w:vAlign w:val="center"/>
          </w:tcPr>
          <w:p>
            <w:pPr>
              <w:widowControl/>
              <w:jc w:val="left"/>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kern w:val="0"/>
                <w:sz w:val="24"/>
                <w:lang w:eastAsia="zh-CN" w:bidi="ar"/>
              </w:rPr>
              <w:t>国有资本经营预算财政拨款支出决算表</w:t>
            </w:r>
          </w:p>
        </w:tc>
        <w:tc>
          <w:tcPr>
            <w:tcW w:w="1128"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是</w:t>
            </w:r>
          </w:p>
        </w:tc>
        <w:tc>
          <w:tcPr>
            <w:tcW w:w="1489" w:type="dxa"/>
            <w:vAlign w:val="center"/>
          </w:tcPr>
          <w:p>
            <w:pPr>
              <w:jc w:val="center"/>
              <w:rPr>
                <w:rFonts w:hint="eastAsia" w:ascii="方正小标宋简体" w:hAnsi="方正小标宋简体" w:eastAsia="方正小标宋简体" w:cs="方正小标宋简体"/>
                <w:color w:val="000000"/>
                <w:kern w:val="0"/>
                <w:sz w:val="24"/>
                <w:szCs w:val="24"/>
                <w:vertAlign w:val="baseline"/>
                <w:lang w:bidi="ar"/>
              </w:rPr>
            </w:pPr>
            <w:r>
              <w:rPr>
                <w:rFonts w:hint="eastAsia" w:ascii="宋体" w:hAnsi="宋体" w:cs="宋体"/>
                <w:color w:val="000000"/>
                <w:sz w:val="24"/>
                <w:lang w:val="en-US" w:eastAsia="zh-CN"/>
              </w:rPr>
              <w:t>未涉及</w:t>
            </w:r>
          </w:p>
        </w:tc>
      </w:tr>
    </w:tbl>
    <w:p>
      <w:pPr>
        <w:jc w:val="center"/>
        <w:rPr>
          <w:rFonts w:hint="eastAsia" w:ascii="方正小标宋简体" w:hAnsi="方正小标宋简体" w:eastAsia="方正小标宋简体" w:cs="方正小标宋简体"/>
          <w:color w:val="000000"/>
          <w:kern w:val="0"/>
          <w:sz w:val="44"/>
          <w:szCs w:val="44"/>
          <w:lang w:bidi="ar"/>
        </w:rPr>
      </w:pPr>
    </w:p>
    <w:p>
      <w:pPr>
        <w:widowControl/>
        <w:jc w:val="center"/>
        <w:textAlignment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884" w:type="dxa"/>
        <w:tblInd w:w="0" w:type="dxa"/>
        <w:tblLayout w:type="fixed"/>
        <w:tblCellMar>
          <w:top w:w="15" w:type="dxa"/>
          <w:left w:w="15" w:type="dxa"/>
          <w:bottom w:w="15" w:type="dxa"/>
          <w:right w:w="15" w:type="dxa"/>
        </w:tblCellMar>
      </w:tblPr>
      <w:tblGrid>
        <w:gridCol w:w="2990"/>
        <w:gridCol w:w="1478"/>
        <w:gridCol w:w="2872"/>
        <w:gridCol w:w="1544"/>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4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280</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31</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347"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1,191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76</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2,687</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64</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478"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478"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478"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1,013</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74</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116</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88</w:t>
            </w: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478"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61</w:t>
            </w:r>
          </w:p>
        </w:tc>
      </w:tr>
      <w:tr>
        <w:tblPrEx>
          <w:tblCellMar>
            <w:top w:w="15" w:type="dxa"/>
            <w:left w:w="15" w:type="dxa"/>
            <w:bottom w:w="15" w:type="dxa"/>
            <w:right w:w="15" w:type="dxa"/>
          </w:tblCellMar>
        </w:tblPrEx>
        <w:trPr>
          <w:trHeight w:val="249"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478"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3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478"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7"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98"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5"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1"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45"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299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415" w:hRule="atLeast"/>
        </w:trPr>
        <w:tc>
          <w:tcPr>
            <w:tcW w:w="29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478"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w:t>
            </w:r>
            <w:r>
              <w:rPr>
                <w:rFonts w:hint="eastAsia" w:ascii="宋体" w:hAnsi="宋体" w:cs="宋体"/>
                <w:i w:val="0"/>
                <w:iCs w:val="0"/>
                <w:color w:val="000000"/>
                <w:kern w:val="0"/>
                <w:sz w:val="22"/>
                <w:szCs w:val="22"/>
                <w:u w:val="none"/>
                <w:lang w:val="en-US" w:eastAsia="zh-CN" w:bidi="ar"/>
              </w:rPr>
              <w:t>1</w:t>
            </w:r>
          </w:p>
        </w:tc>
        <w:tc>
          <w:tcPr>
            <w:tcW w:w="287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544"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13</w:t>
            </w:r>
          </w:p>
        </w:tc>
      </w:tr>
      <w:tr>
        <w:tblPrEx>
          <w:tblCellMar>
            <w:top w:w="15" w:type="dxa"/>
            <w:left w:w="15" w:type="dxa"/>
            <w:bottom w:w="15" w:type="dxa"/>
            <w:right w:w="15" w:type="dxa"/>
          </w:tblCellMar>
        </w:tblPrEx>
        <w:trPr>
          <w:trHeight w:val="355"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Cs/>
                <w:color w:val="000000"/>
                <w:sz w:val="21"/>
                <w:szCs w:val="21"/>
              </w:rPr>
            </w:pP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71"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16,720.66</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16,392.34</w:t>
            </w:r>
          </w:p>
        </w:tc>
      </w:tr>
      <w:tr>
        <w:tblPrEx>
          <w:tblCellMar>
            <w:top w:w="15" w:type="dxa"/>
            <w:left w:w="15" w:type="dxa"/>
            <w:bottom w:w="15" w:type="dxa"/>
            <w:right w:w="15" w:type="dxa"/>
          </w:tblCellMar>
        </w:tblPrEx>
        <w:trPr>
          <w:trHeight w:val="382" w:hRule="atLeast"/>
        </w:trPr>
        <w:tc>
          <w:tcPr>
            <w:tcW w:w="2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4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FF0000"/>
                <w:sz w:val="21"/>
                <w:szCs w:val="21"/>
              </w:rPr>
            </w:pPr>
            <w:r>
              <w:rPr>
                <w:rFonts w:hint="eastAsia" w:ascii="宋体" w:hAnsi="宋体" w:eastAsia="宋体" w:cs="宋体"/>
                <w:i w:val="0"/>
                <w:iCs w:val="0"/>
                <w:color w:val="000000"/>
                <w:kern w:val="0"/>
                <w:sz w:val="22"/>
                <w:szCs w:val="22"/>
                <w:u w:val="none"/>
                <w:lang w:val="en-US" w:eastAsia="zh-CN" w:bidi="ar"/>
              </w:rPr>
              <w:t>2,485</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8</w:t>
            </w:r>
          </w:p>
        </w:tc>
        <w:tc>
          <w:tcPr>
            <w:tcW w:w="28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2,814</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13</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867" w:type="dxa"/>
        <w:tblInd w:w="0" w:type="dxa"/>
        <w:tblLayout w:type="fixed"/>
        <w:tblCellMar>
          <w:top w:w="15" w:type="dxa"/>
          <w:left w:w="15" w:type="dxa"/>
          <w:bottom w:w="15" w:type="dxa"/>
          <w:right w:w="15" w:type="dxa"/>
        </w:tblCellMar>
      </w:tblPr>
      <w:tblGrid>
        <w:gridCol w:w="766"/>
        <w:gridCol w:w="1457"/>
        <w:gridCol w:w="833"/>
        <w:gridCol w:w="900"/>
        <w:gridCol w:w="684"/>
        <w:gridCol w:w="866"/>
        <w:gridCol w:w="984"/>
        <w:gridCol w:w="741"/>
        <w:gridCol w:w="766"/>
        <w:gridCol w:w="870"/>
      </w:tblGrid>
      <w:tr>
        <w:tblPrEx>
          <w:tblCellMar>
            <w:top w:w="15" w:type="dxa"/>
            <w:left w:w="15" w:type="dxa"/>
            <w:bottom w:w="15" w:type="dxa"/>
            <w:right w:w="15" w:type="dxa"/>
          </w:tblCellMar>
        </w:tblPrEx>
        <w:trPr>
          <w:trHeight w:val="439" w:hRule="atLeast"/>
        </w:trPr>
        <w:tc>
          <w:tcPr>
            <w:tcW w:w="22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6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766"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45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其中：教育收费</w:t>
            </w:r>
          </w:p>
        </w:tc>
        <w:tc>
          <w:tcPr>
            <w:tcW w:w="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2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2,485</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81</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31</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1,013</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74</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教育支出</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2,359</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82</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1,013</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74</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普通教育</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18"/>
                <w:szCs w:val="18"/>
                <w:lang w:val="en-US"/>
              </w:rPr>
            </w:pPr>
            <w:r>
              <w:rPr>
                <w:rFonts w:hint="eastAsia" w:ascii="宋体" w:hAnsi="宋体" w:cs="宋体"/>
                <w:i w:val="0"/>
                <w:color w:val="000000"/>
                <w:kern w:val="0"/>
                <w:sz w:val="18"/>
                <w:szCs w:val="18"/>
                <w:u w:val="none"/>
                <w:lang w:val="en-US" w:eastAsia="zh-CN" w:bidi="ar"/>
              </w:rPr>
              <w:t>0.27</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2050205</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高等教育</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20504</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成人教育</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2,335</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65</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1,013</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74</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2050403</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成人高等教育</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2,335</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65</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1,191</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76</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1,013</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74</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88</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116.88</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88</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116.88</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2080501</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行政单位离退休</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70.81</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70.81</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2080502</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1.52</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1.52</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44.55</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44.55</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卫生健康支出</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行政事业单位医疗</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2101102</w:t>
            </w: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7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金额单位：万元</w:t>
      </w:r>
    </w:p>
    <w:tbl>
      <w:tblPr>
        <w:tblStyle w:val="5"/>
        <w:tblW w:w="8896" w:type="dxa"/>
        <w:tblInd w:w="0" w:type="dxa"/>
        <w:tblLayout w:type="fixed"/>
        <w:tblCellMar>
          <w:top w:w="15" w:type="dxa"/>
          <w:left w:w="15" w:type="dxa"/>
          <w:bottom w:w="15" w:type="dxa"/>
          <w:right w:w="15" w:type="dxa"/>
        </w:tblCellMar>
      </w:tblPr>
      <w:tblGrid>
        <w:gridCol w:w="914"/>
        <w:gridCol w:w="83"/>
        <w:gridCol w:w="1662"/>
        <w:gridCol w:w="1080"/>
        <w:gridCol w:w="1170"/>
        <w:gridCol w:w="1050"/>
        <w:gridCol w:w="870"/>
        <w:gridCol w:w="930"/>
        <w:gridCol w:w="1137"/>
      </w:tblGrid>
      <w:tr>
        <w:tblPrEx>
          <w:tblCellMar>
            <w:top w:w="15" w:type="dxa"/>
            <w:left w:w="15" w:type="dxa"/>
            <w:bottom w:w="15" w:type="dxa"/>
            <w:right w:w="15" w:type="dxa"/>
          </w:tblCellMar>
        </w:tblPrEx>
        <w:trPr>
          <w:trHeight w:val="372" w:hRule="atLeast"/>
        </w:trPr>
        <w:tc>
          <w:tcPr>
            <w:tcW w:w="2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1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2,814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13</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2,396</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0</w:t>
            </w:r>
            <w:r>
              <w:rPr>
                <w:rFonts w:hint="eastAsia" w:ascii="宋体" w:hAnsi="宋体" w:cs="宋体"/>
                <w:i w:val="0"/>
                <w:color w:val="000000"/>
                <w:kern w:val="0"/>
                <w:sz w:val="18"/>
                <w:szCs w:val="18"/>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418</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06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教育支出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2,687</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64</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2,269</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418</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06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20502</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普通教育</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2050205</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高等教育</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20504</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成人教育</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2,663</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47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2,245</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418</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0</w:t>
            </w:r>
            <w:r>
              <w:rPr>
                <w:rFonts w:hint="eastAsia" w:ascii="宋体" w:hAnsi="宋体" w:cs="宋体"/>
                <w:i w:val="0"/>
                <w:color w:val="000000"/>
                <w:kern w:val="0"/>
                <w:sz w:val="18"/>
                <w:szCs w:val="18"/>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2050403</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成人高等教育</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2,663</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47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2,245</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418</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0</w:t>
            </w:r>
            <w:r>
              <w:rPr>
                <w:rFonts w:hint="eastAsia" w:ascii="宋体" w:hAnsi="宋体" w:cs="宋体"/>
                <w:i w:val="0"/>
                <w:color w:val="000000"/>
                <w:kern w:val="0"/>
                <w:sz w:val="18"/>
                <w:szCs w:val="18"/>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社会保障和就业支出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88</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行政事业单位养老支出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88</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2080501</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行政单位离退休</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70.81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2080502</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事业单位离退休</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1.52</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2080506</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机关事业单位职业年金缴费支出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44.55</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44.55</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卫生健康支出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21011</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行政事业单位医疗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2101102</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事业单位医疗</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bl>
    <w:p>
      <w:pPr>
        <w:keepNext w:val="0"/>
        <w:keepLines w:val="0"/>
        <w:widowControl/>
        <w:suppressLineNumbers w:val="0"/>
        <w:jc w:val="left"/>
        <w:rPr>
          <w:rFonts w:hint="eastAsia" w:ascii="宋体" w:hAnsi="宋体" w:cs="宋体"/>
          <w:color w:val="000000"/>
          <w:kern w:val="0"/>
          <w:szCs w:val="21"/>
          <w:lang w:val="en-US" w:eastAsia="zh-CN"/>
        </w:rPr>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938" w:type="dxa"/>
        <w:tblInd w:w="0" w:type="dxa"/>
        <w:tblLayout w:type="fixed"/>
        <w:tblCellMar>
          <w:top w:w="15" w:type="dxa"/>
          <w:left w:w="15" w:type="dxa"/>
          <w:bottom w:w="15" w:type="dxa"/>
          <w:right w:w="15" w:type="dxa"/>
        </w:tblCellMar>
      </w:tblPr>
      <w:tblGrid>
        <w:gridCol w:w="1656"/>
        <w:gridCol w:w="913"/>
        <w:gridCol w:w="2325"/>
        <w:gridCol w:w="960"/>
        <w:gridCol w:w="975"/>
        <w:gridCol w:w="1095"/>
        <w:gridCol w:w="1014"/>
      </w:tblGrid>
      <w:tr>
        <w:tblPrEx>
          <w:tblCellMar>
            <w:top w:w="15" w:type="dxa"/>
            <w:left w:w="15" w:type="dxa"/>
            <w:bottom w:w="15" w:type="dxa"/>
            <w:right w:w="15" w:type="dxa"/>
          </w:tblCellMar>
        </w:tblPrEx>
        <w:trPr>
          <w:trHeight w:val="276" w:hRule="atLeast"/>
        </w:trPr>
        <w:tc>
          <w:tcPr>
            <w:tcW w:w="25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713"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val="en-US" w:eastAsia="zh-CN"/>
              </w:rPr>
              <w:t xml:space="preserve"> </w:t>
            </w: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593"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9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280.31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1.一般公共服务支出</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63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7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153.82</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153.82</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116.88</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116.88</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9.61</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96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c>
          <w:tcPr>
            <w:tcW w:w="975"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9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014"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39"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96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SA"/>
              </w:rPr>
            </w:pPr>
          </w:p>
        </w:tc>
        <w:tc>
          <w:tcPr>
            <w:tcW w:w="975"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09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014"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金额单位：万元</w:t>
      </w:r>
    </w:p>
    <w:tbl>
      <w:tblPr>
        <w:tblStyle w:val="5"/>
        <w:tblW w:w="8954" w:type="dxa"/>
        <w:tblInd w:w="0" w:type="dxa"/>
        <w:tblLayout w:type="fixed"/>
        <w:tblCellMar>
          <w:top w:w="15" w:type="dxa"/>
          <w:left w:w="15" w:type="dxa"/>
          <w:bottom w:w="15" w:type="dxa"/>
          <w:right w:w="15" w:type="dxa"/>
        </w:tblCellMar>
      </w:tblPr>
      <w:tblGrid>
        <w:gridCol w:w="1534"/>
        <w:gridCol w:w="958"/>
        <w:gridCol w:w="2319"/>
        <w:gridCol w:w="1037"/>
        <w:gridCol w:w="975"/>
        <w:gridCol w:w="1095"/>
        <w:gridCol w:w="1036"/>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国有资本经营预算财政拨款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280.31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b/>
                <w:color w:val="000000"/>
                <w:kern w:val="0"/>
                <w:sz w:val="18"/>
                <w:szCs w:val="18"/>
                <w:lang w:val="en-US"/>
              </w:rPr>
            </w:pPr>
            <w:r>
              <w:rPr>
                <w:rFonts w:hint="eastAsia" w:ascii="宋体" w:hAnsi="宋体" w:cs="宋体"/>
                <w:i w:val="0"/>
                <w:iCs w:val="0"/>
                <w:color w:val="000000"/>
                <w:kern w:val="0"/>
                <w:sz w:val="22"/>
                <w:szCs w:val="22"/>
                <w:u w:val="none"/>
                <w:lang w:val="en-US" w:eastAsia="zh-CN" w:bidi="ar"/>
              </w:rPr>
              <w:t>280.31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b/>
                <w:color w:val="000000"/>
                <w:kern w:val="0"/>
                <w:sz w:val="18"/>
                <w:szCs w:val="18"/>
                <w:lang w:val="en-US" w:eastAsia="zh-CN"/>
              </w:rPr>
            </w:pPr>
            <w:r>
              <w:rPr>
                <w:rFonts w:hint="eastAsia" w:ascii="宋体" w:hAnsi="宋体" w:cs="宋体"/>
                <w:i w:val="0"/>
                <w:iCs w:val="0"/>
                <w:color w:val="000000"/>
                <w:kern w:val="0"/>
                <w:sz w:val="22"/>
                <w:szCs w:val="22"/>
                <w:u w:val="none"/>
                <w:lang w:val="en-US" w:eastAsia="zh-CN" w:bidi="ar"/>
              </w:rPr>
              <w:t>280.31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iCs w:val="0"/>
                <w:color w:val="000000"/>
                <w:kern w:val="0"/>
                <w:sz w:val="22"/>
                <w:szCs w:val="22"/>
                <w:u w:val="none"/>
                <w:lang w:val="en-US" w:eastAsia="zh-CN" w:bidi="ar"/>
              </w:rPr>
              <w:t>280.31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iCs w:val="0"/>
                <w:color w:val="000000"/>
                <w:kern w:val="0"/>
                <w:sz w:val="22"/>
                <w:szCs w:val="22"/>
                <w:u w:val="none"/>
                <w:lang w:val="en-US" w:eastAsia="zh-CN" w:bidi="ar"/>
              </w:rPr>
              <w:t>280.31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cs="宋体"/>
                <w:i w:val="0"/>
                <w:iCs w:val="0"/>
                <w:color w:val="000000"/>
                <w:kern w:val="0"/>
                <w:sz w:val="22"/>
                <w:szCs w:val="22"/>
                <w:u w:val="none"/>
                <w:lang w:val="en-US" w:eastAsia="zh-CN" w:bidi="ar"/>
              </w:rPr>
              <w:t>280.31</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jc w:val="left"/>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777" w:type="dxa"/>
        <w:tblInd w:w="0" w:type="dxa"/>
        <w:tblLayout w:type="fixed"/>
        <w:tblCellMar>
          <w:top w:w="15" w:type="dxa"/>
          <w:left w:w="15" w:type="dxa"/>
          <w:bottom w:w="15" w:type="dxa"/>
          <w:right w:w="15" w:type="dxa"/>
        </w:tblCellMar>
      </w:tblPr>
      <w:tblGrid>
        <w:gridCol w:w="994"/>
        <w:gridCol w:w="1860"/>
        <w:gridCol w:w="975"/>
        <w:gridCol w:w="975"/>
        <w:gridCol w:w="945"/>
        <w:gridCol w:w="958"/>
        <w:gridCol w:w="1020"/>
        <w:gridCol w:w="1050"/>
      </w:tblGrid>
      <w:tr>
        <w:tblPrEx>
          <w:tblCellMar>
            <w:top w:w="15" w:type="dxa"/>
            <w:left w:w="15" w:type="dxa"/>
            <w:bottom w:w="15" w:type="dxa"/>
            <w:right w:w="15" w:type="dxa"/>
          </w:tblCellMar>
        </w:tblPrEx>
        <w:trPr>
          <w:trHeight w:val="414" w:hRule="atLeast"/>
        </w:trPr>
        <w:tc>
          <w:tcPr>
            <w:tcW w:w="28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878"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8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280.31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280.31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278</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2.09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91"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教育支出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153.82</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153.82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153.25</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0.57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20502</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普通教育</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24.17</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24.17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24.17</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76"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2050205</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24.17</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color w:val="000000"/>
                <w:sz w:val="21"/>
                <w:szCs w:val="21"/>
                <w:lang w:val="en-US" w:eastAsia="zh-CN"/>
              </w:rPr>
              <w:t>24.17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24.17</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20504</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成人教育</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eastAsia="宋体" w:cs="宋体"/>
                <w:i w:val="0"/>
                <w:iCs w:val="0"/>
                <w:color w:val="000000"/>
                <w:kern w:val="0"/>
                <w:sz w:val="22"/>
                <w:szCs w:val="22"/>
                <w:u w:val="none"/>
                <w:lang w:val="en-US" w:eastAsia="zh-CN" w:bidi="ar"/>
              </w:rPr>
              <w:t>129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w:t>
            </w:r>
            <w:r>
              <w:rPr>
                <w:rFonts w:hint="eastAsia" w:ascii="宋体" w:hAnsi="宋体" w:cs="宋体"/>
                <w:i w:val="0"/>
                <w:iCs w:val="0"/>
                <w:color w:val="000000"/>
                <w:kern w:val="0"/>
                <w:sz w:val="22"/>
                <w:szCs w:val="22"/>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129.65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129.08</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0.57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2050403</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成人高等教育</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129</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6</w:t>
            </w:r>
            <w:r>
              <w:rPr>
                <w:rFonts w:hint="eastAsia" w:ascii="宋体" w:hAnsi="宋体" w:cs="宋体"/>
                <w:i w:val="0"/>
                <w:iCs w:val="0"/>
                <w:color w:val="000000"/>
                <w:kern w:val="0"/>
                <w:sz w:val="22"/>
                <w:szCs w:val="22"/>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129.65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129.08</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0.57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116.88</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116.88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115.36</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1.52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116.88</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116.88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115.36</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1.52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2080501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70.81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70.81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70.81</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2080502</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1.52</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1.52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2080506</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44.55</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44.55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44.55</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210</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9.61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9.61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9.61</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21011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2101102</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817" w:type="dxa"/>
        <w:tblInd w:w="0" w:type="dxa"/>
        <w:tblLayout w:type="fixed"/>
        <w:tblCellMar>
          <w:top w:w="15" w:type="dxa"/>
          <w:left w:w="15" w:type="dxa"/>
          <w:bottom w:w="15" w:type="dxa"/>
          <w:right w:w="15" w:type="dxa"/>
        </w:tblCellMar>
      </w:tblPr>
      <w:tblGrid>
        <w:gridCol w:w="1157"/>
        <w:gridCol w:w="2387"/>
        <w:gridCol w:w="1515"/>
        <w:gridCol w:w="1335"/>
        <w:gridCol w:w="1268"/>
        <w:gridCol w:w="1155"/>
      </w:tblGrid>
      <w:tr>
        <w:tblPrEx>
          <w:tblCellMar>
            <w:top w:w="15" w:type="dxa"/>
            <w:left w:w="15" w:type="dxa"/>
            <w:bottom w:w="15" w:type="dxa"/>
            <w:right w:w="15" w:type="dxa"/>
          </w:tblCellMar>
        </w:tblPrEx>
        <w:trPr>
          <w:trHeight w:val="434" w:hRule="atLeast"/>
        </w:trPr>
        <w:tc>
          <w:tcPr>
            <w:tcW w:w="3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1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b/>
                <w:color w:val="000000"/>
                <w:sz w:val="21"/>
                <w:szCs w:val="21"/>
                <w:lang w:val="en-US"/>
              </w:rPr>
            </w:pPr>
            <w:r>
              <w:rPr>
                <w:rFonts w:hint="eastAsia" w:ascii="宋体" w:hAnsi="宋体" w:cs="宋体"/>
                <w:i w:val="0"/>
                <w:iCs w:val="0"/>
                <w:color w:val="000000"/>
                <w:kern w:val="0"/>
                <w:sz w:val="22"/>
                <w:szCs w:val="22"/>
                <w:u w:val="none"/>
                <w:lang w:val="en-US" w:eastAsia="zh-CN" w:bidi="ar"/>
              </w:rPr>
              <w:t>280.31</w:t>
            </w:r>
          </w:p>
        </w:tc>
        <w:tc>
          <w:tcPr>
            <w:tcW w:w="133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1"/>
                <w:szCs w:val="21"/>
              </w:rPr>
            </w:pPr>
            <w:r>
              <w:rPr>
                <w:rFonts w:hint="eastAsia" w:ascii="宋体" w:hAnsi="宋体" w:cs="宋体"/>
                <w:i w:val="0"/>
                <w:iCs w:val="0"/>
                <w:color w:val="000000"/>
                <w:kern w:val="0"/>
                <w:sz w:val="22"/>
                <w:szCs w:val="22"/>
                <w:u w:val="none"/>
                <w:lang w:val="en-US" w:eastAsia="zh-CN" w:bidi="ar"/>
              </w:rPr>
              <w:t>278.22</w:t>
            </w:r>
          </w:p>
        </w:tc>
        <w:tc>
          <w:tcPr>
            <w:tcW w:w="126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b/>
                <w:color w:val="000000"/>
                <w:sz w:val="21"/>
                <w:szCs w:val="21"/>
                <w:lang w:val="en-US"/>
              </w:rPr>
            </w:pPr>
            <w:r>
              <w:rPr>
                <w:rFonts w:hint="eastAsia" w:ascii="宋体" w:hAnsi="宋体" w:cs="宋体"/>
                <w:i w:val="0"/>
                <w:iCs w:val="0"/>
                <w:color w:val="000000"/>
                <w:kern w:val="0"/>
                <w:sz w:val="22"/>
                <w:szCs w:val="22"/>
                <w:u w:val="none"/>
                <w:lang w:val="en-US" w:eastAsia="zh-CN" w:bidi="ar"/>
              </w:rPr>
              <w:t>2.09</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教育支出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153.82</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153.25</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0.57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普通教育</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24.17</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24.17</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2050205</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24.17</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24.17</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20504</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成人教育</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129.65</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129.08</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0.57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2050403</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成人高等教育</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129.65</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129.08</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0.57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116.88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115.36</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116.88</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115.36</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1.52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2080501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70.81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70.81</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1.52</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1.52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2080506</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44.55</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44.55</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210</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cs="宋体"/>
                <w:color w:val="000000"/>
                <w:sz w:val="21"/>
                <w:szCs w:val="21"/>
                <w:lang w:val="en-US"/>
              </w:rPr>
            </w:pPr>
            <w:r>
              <w:rPr>
                <w:rFonts w:hint="eastAsia" w:ascii="宋体" w:hAnsi="宋体" w:cs="宋体"/>
                <w:i w:val="0"/>
                <w:iCs w:val="0"/>
                <w:color w:val="000000"/>
                <w:kern w:val="0"/>
                <w:sz w:val="22"/>
                <w:szCs w:val="22"/>
                <w:u w:val="none"/>
                <w:lang w:val="en-US" w:eastAsia="zh-CN" w:bidi="ar"/>
              </w:rPr>
              <w:t>9.61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21011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2101102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iCs w:val="0"/>
                <w:color w:val="000000"/>
                <w:kern w:val="0"/>
                <w:sz w:val="22"/>
                <w:szCs w:val="22"/>
                <w:u w:val="none"/>
                <w:lang w:val="en-US" w:eastAsia="zh-CN" w:bidi="ar"/>
              </w:rPr>
              <w:t>9.61</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jc w:val="left"/>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val="en-US" w:eastAsia="zh-CN"/>
        </w:rPr>
        <w:t xml:space="preserve">陕西工运学院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5"/>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w:t>
      </w:r>
      <w:r>
        <w:rPr>
          <w:rFonts w:hint="eastAsia" w:ascii="方正小标宋简体" w:hAnsi="方正小标宋简体" w:eastAsia="方正小标宋简体" w:cs="方正小标宋简体"/>
          <w:color w:val="000000"/>
          <w:kern w:val="0"/>
          <w:sz w:val="44"/>
          <w:szCs w:val="44"/>
          <w:lang w:eastAsia="zh-CN" w:bidi="ar"/>
        </w:rPr>
        <w:t>单位</w:t>
      </w:r>
      <w:r>
        <w:rPr>
          <w:rFonts w:hint="eastAsia" w:ascii="方正小标宋简体" w:hAnsi="方正小标宋简体" w:eastAsia="方正小标宋简体" w:cs="方正小标宋简体"/>
          <w:color w:val="000000"/>
          <w:kern w:val="0"/>
          <w:sz w:val="44"/>
          <w:szCs w:val="44"/>
          <w:lang w:bidi="ar"/>
        </w:rPr>
        <w:t>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度收入总计2,485.81万元。与2019年度相比，收入减少4,676.49万元，减少65.29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主要原因</w:t>
      </w:r>
      <w:r>
        <w:rPr>
          <w:rFonts w:hint="eastAsia" w:ascii="仿宋_GB2312" w:hAnsi="仿宋_GB2312" w:eastAsia="仿宋_GB2312" w:cs="仿宋_GB2312"/>
          <w:color w:val="000000"/>
          <w:sz w:val="32"/>
          <w:highlight w:val="none"/>
          <w:lang w:eastAsia="zh-CN"/>
        </w:rPr>
        <w:t>有：一</w:t>
      </w:r>
      <w:r>
        <w:rPr>
          <w:rFonts w:hint="eastAsia" w:ascii="仿宋_GB2312" w:hAnsi="仿宋_GB2312" w:eastAsia="仿宋_GB2312" w:cs="仿宋_GB2312"/>
          <w:color w:val="000000"/>
          <w:sz w:val="32"/>
          <w:highlight w:val="none"/>
        </w:rPr>
        <w:t>是</w:t>
      </w:r>
      <w:r>
        <w:rPr>
          <w:rFonts w:hint="eastAsia" w:ascii="仿宋_GB2312" w:hAnsi="仿宋_GB2312" w:eastAsia="仿宋_GB2312" w:cs="仿宋_GB2312"/>
          <w:color w:val="000000"/>
          <w:sz w:val="32"/>
          <w:highlight w:val="none"/>
          <w:lang w:eastAsia="zh-CN"/>
        </w:rPr>
        <w:t>疫情影响本年度事业收入减少。二是</w:t>
      </w:r>
      <w:r>
        <w:rPr>
          <w:rFonts w:hint="eastAsia" w:ascii="仿宋_GB2312" w:hAnsi="仿宋_GB2312" w:eastAsia="仿宋_GB2312" w:cs="仿宋_GB2312"/>
          <w:color w:val="000000"/>
          <w:sz w:val="32"/>
          <w:highlight w:val="none"/>
          <w:lang w:val="en-US" w:eastAsia="zh-CN"/>
        </w:rPr>
        <w:t>2019年度</w:t>
      </w:r>
      <w:r>
        <w:rPr>
          <w:rFonts w:hint="eastAsia" w:ascii="仿宋_GB2312" w:hAnsi="仿宋" w:eastAsia="仿宋_GB2312" w:cs="仿宋"/>
          <w:color w:val="000000"/>
          <w:sz w:val="32"/>
          <w:szCs w:val="32"/>
          <w:highlight w:val="none"/>
          <w:lang w:val="en-US" w:eastAsia="zh-CN"/>
        </w:rPr>
        <w:t>省总工会拨入新校区项目建设收入，2020年未拨新校区项目建设收入，故收入减少。</w:t>
      </w: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图1：收入变动情况   (单位：万元)</w:t>
      </w:r>
    </w:p>
    <w:p>
      <w:pPr>
        <w:ind w:firstLine="709"/>
        <w:rPr>
          <w:rFonts w:hint="eastAsia" w:ascii="仿宋_GB2312" w:hAnsi="仿宋_GB2312" w:eastAsia="仿宋_GB2312" w:cs="仿宋_GB2312"/>
          <w:color w:val="000000"/>
          <w:sz w:val="32"/>
          <w:highlight w:val="none"/>
        </w:rPr>
      </w:pPr>
      <w:r>
        <w:drawing>
          <wp:inline distT="0" distB="0" distL="114300" distR="114300">
            <wp:extent cx="4807585" cy="2670810"/>
            <wp:effectExtent l="4445" t="4445" r="7620" b="10795"/>
            <wp:docPr id="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709"/>
        <w:rPr>
          <w:rFonts w:hint="eastAsia" w:ascii="仿宋_GB2312" w:hAnsi="仿宋_GB2312" w:eastAsia="仿宋_GB2312" w:cs="仿宋_GB2312"/>
          <w:color w:val="000000"/>
          <w:sz w:val="32"/>
          <w:highlight w:val="none"/>
        </w:rPr>
      </w:pP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度支出总计2,814.13</w:t>
      </w:r>
      <w:r>
        <w:rPr>
          <w:rFonts w:hint="eastAsia" w:ascii="仿宋_GB2312" w:hAnsi="仿宋_GB2312" w:eastAsia="仿宋_GB2312" w:cs="仿宋_GB2312"/>
          <w:color w:val="000000"/>
          <w:sz w:val="32"/>
          <w:highlight w:val="none"/>
        </w:rPr>
        <w:t>万元。与201</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w:t>
      </w:r>
      <w:r>
        <w:rPr>
          <w:rFonts w:hint="eastAsia" w:ascii="仿宋_GB2312" w:hAnsi="仿宋_GB2312" w:eastAsia="仿宋_GB2312" w:cs="仿宋_GB2312"/>
          <w:color w:val="000000"/>
          <w:sz w:val="32"/>
          <w:highlight w:val="none"/>
        </w:rPr>
        <w:t>相比，</w:t>
      </w:r>
      <w:r>
        <w:rPr>
          <w:rFonts w:hint="eastAsia" w:ascii="仿宋_GB2312" w:hAnsi="仿宋_GB2312" w:eastAsia="仿宋_GB2312" w:cs="仿宋_GB2312"/>
          <w:color w:val="000000"/>
          <w:sz w:val="32"/>
          <w:highlight w:val="none"/>
          <w:lang w:val="en-US" w:eastAsia="zh-CN"/>
        </w:rPr>
        <w:t>支出减少947.31</w:t>
      </w:r>
      <w:r>
        <w:rPr>
          <w:rFonts w:hint="eastAsia" w:ascii="仿宋_GB2312" w:hAnsi="仿宋_GB2312" w:eastAsia="仿宋_GB2312" w:cs="仿宋_GB2312"/>
          <w:color w:val="000000"/>
          <w:sz w:val="32"/>
          <w:highlight w:val="none"/>
        </w:rPr>
        <w:t>万元，</w:t>
      </w:r>
      <w:r>
        <w:rPr>
          <w:rFonts w:hint="eastAsia" w:ascii="仿宋_GB2312" w:hAnsi="仿宋_GB2312" w:eastAsia="仿宋_GB2312" w:cs="仿宋_GB2312"/>
          <w:color w:val="000000"/>
          <w:sz w:val="32"/>
          <w:highlight w:val="none"/>
          <w:lang w:val="en-US" w:eastAsia="zh-CN"/>
        </w:rPr>
        <w:t>减少25.18</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2020年受疫情影响，工会干部培训班次减少，相关支出也减少。</w:t>
      </w:r>
    </w:p>
    <w:p>
      <w:pPr>
        <w:ind w:firstLine="709"/>
        <w:rPr>
          <w:rFonts w:hint="default" w:ascii="仿宋_GB2312" w:hAnsi="仿宋" w:eastAsia="仿宋_GB2312" w:cs="仿宋"/>
          <w:color w:val="000000"/>
          <w:sz w:val="32"/>
          <w:szCs w:val="32"/>
          <w:highlight w:val="none"/>
          <w:lang w:val="en-US" w:eastAsia="zh-CN"/>
        </w:rPr>
      </w:pP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图2：2020年单位支出变动情况   (单位：万元)</w:t>
      </w:r>
    </w:p>
    <w:p>
      <w:pPr>
        <w:spacing w:beforeLines="0" w:afterLines="0"/>
        <w:ind w:firstLine="420" w:firstLineChars="200"/>
        <w:jc w:val="center"/>
        <w:rPr>
          <w:rFonts w:hint="eastAsia" w:ascii="仿宋_GB2312" w:hAnsi="仿宋_GB2312" w:eastAsia="仿宋_GB2312" w:cs="仿宋_GB2312"/>
          <w:color w:val="000000"/>
          <w:sz w:val="32"/>
          <w:lang w:val="en-US" w:eastAsia="zh-CN"/>
        </w:rPr>
      </w:pPr>
      <w:r>
        <w:drawing>
          <wp:inline distT="0" distB="0" distL="114300" distR="114300">
            <wp:extent cx="4458335" cy="2681605"/>
            <wp:effectExtent l="4445" t="4445" r="13970" b="19050"/>
            <wp:docPr id="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2020年度收入合计2485.81万元，其中：财政拨款收入280.31万元，占11.28</w:t>
      </w:r>
      <w:r>
        <w:rPr>
          <w:rFonts w:hint="default"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lang w:val="en-US" w:eastAsia="zh-CN"/>
        </w:rPr>
        <w:t>；事业收入1,191.76万元，占47.94%；上级补助收入907.00万元，占36.49%；其他收入106.74万元，占4.29%。</w:t>
      </w:r>
    </w:p>
    <w:p>
      <w:pPr>
        <w:spacing w:beforeLines="0" w:afterLines="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lang w:val="en-US" w:eastAsia="zh-CN"/>
        </w:rPr>
        <w:t>图3：收入决算情况</w:t>
      </w:r>
    </w:p>
    <w:p>
      <w:pPr>
        <w:pStyle w:val="2"/>
        <w:jc w:val="center"/>
        <w:rPr>
          <w:rFonts w:hint="eastAsia"/>
          <w:lang w:val="en-US" w:eastAsia="zh-CN"/>
        </w:rPr>
      </w:pPr>
      <w:r>
        <w:drawing>
          <wp:inline distT="0" distB="0" distL="114300" distR="114300">
            <wp:extent cx="4678045" cy="2373630"/>
            <wp:effectExtent l="4445" t="4445" r="22860" b="22225"/>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val="en-US" w:eastAsia="zh-CN" w:bidi="ar"/>
        </w:rPr>
        <w:t>三、</w:t>
      </w:r>
      <w:r>
        <w:rPr>
          <w:rFonts w:hint="eastAsia" w:ascii="黑体" w:hAnsi="黑体" w:eastAsia="黑体"/>
          <w:color w:val="000000"/>
          <w:kern w:val="0"/>
          <w:sz w:val="32"/>
          <w:szCs w:val="32"/>
          <w:lang w:bidi="ar"/>
        </w:rPr>
        <w:t>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2020年度支出合计2814.13万元，其中：基本支出2396.07万元，占85.14%；项目支出418.06万元，占14.86%。</w:t>
      </w:r>
    </w:p>
    <w:p>
      <w:pPr>
        <w:spacing w:beforeLines="0" w:afterLines="0"/>
        <w:jc w:val="center"/>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图4：支出决算情况</w:t>
      </w:r>
    </w:p>
    <w:p>
      <w:pPr>
        <w:pStyle w:val="2"/>
        <w:jc w:val="center"/>
        <w:rPr>
          <w:rFonts w:hint="eastAsia"/>
          <w:lang w:val="en-US" w:eastAsia="zh-CN"/>
        </w:rPr>
      </w:pPr>
      <w:r>
        <w:drawing>
          <wp:inline distT="0" distB="0" distL="114300" distR="114300">
            <wp:extent cx="4526915" cy="2413000"/>
            <wp:effectExtent l="4445" t="4445" r="21590" b="20955"/>
            <wp:docPr id="1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2020年度财政拨款收入280.31万元。与2019年度相比，收入增加64.21万元，增加29.71%，主要原因是2020年住房补贴、中人退休人员职业年金、离休人员医药费拨款增加，故本单位收入增加。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图5：财政拨款收入变动情况(单位：万元)</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r>
        <w:drawing>
          <wp:anchor distT="0" distB="0" distL="114300" distR="114300" simplePos="0" relativeHeight="251659264" behindDoc="0" locked="0" layoutInCell="1" allowOverlap="1">
            <wp:simplePos x="0" y="0"/>
            <wp:positionH relativeFrom="column">
              <wp:posOffset>608330</wp:posOffset>
            </wp:positionH>
            <wp:positionV relativeFrom="paragraph">
              <wp:posOffset>5080</wp:posOffset>
            </wp:positionV>
            <wp:extent cx="4527550" cy="2254885"/>
            <wp:effectExtent l="4445" t="4445" r="20955" b="7620"/>
            <wp:wrapNone/>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2020年度财政拨款支出280.31万元。与2019年度相比，支出增加64.21万元，增加29.71%，</w:t>
      </w:r>
      <w:bookmarkStart w:id="0" w:name="_GoBack"/>
      <w:r>
        <w:rPr>
          <w:rFonts w:hint="eastAsia" w:ascii="仿宋_GB2312" w:hAnsi="仿宋_GB2312" w:eastAsia="仿宋_GB2312" w:cs="仿宋_GB2312"/>
          <w:color w:val="auto"/>
          <w:sz w:val="32"/>
          <w:lang w:val="en-US" w:eastAsia="zh-CN"/>
        </w:rPr>
        <w:t>主要原因是2020年住房补贴、中人退休人员职业年金、离休人员医药费支出增加，故本部门支出增加。</w:t>
      </w:r>
    </w:p>
    <w:bookmarkEnd w:id="0"/>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pPr>
      <w:r>
        <w:rPr>
          <w:rFonts w:hint="eastAsia" w:ascii="仿宋_GB2312" w:hAnsi="仿宋_GB2312" w:eastAsia="仿宋_GB2312" w:cs="仿宋_GB2312"/>
          <w:color w:val="auto"/>
          <w:sz w:val="32"/>
          <w:lang w:val="en-US" w:eastAsia="zh-CN"/>
        </w:rPr>
        <w:t>图6：财政拨款支出变动情况(单位：万元)</w:t>
      </w:r>
    </w:p>
    <w:p>
      <w:pPr>
        <w:pStyle w:val="2"/>
        <w:ind w:left="0" w:leftChars="0" w:firstLine="0" w:firstLineChars="0"/>
        <w:jc w:val="center"/>
        <w:rPr>
          <w:rFonts w:hint="eastAsia" w:ascii="黑体" w:hAnsi="黑体" w:eastAsia="黑体"/>
          <w:color w:val="000000"/>
          <w:kern w:val="0"/>
          <w:sz w:val="32"/>
          <w:szCs w:val="32"/>
          <w:lang w:bidi="ar"/>
        </w:rPr>
      </w:pPr>
      <w:r>
        <w:drawing>
          <wp:anchor distT="0" distB="0" distL="114300" distR="114300" simplePos="0" relativeHeight="251661312" behindDoc="0" locked="0" layoutInCell="1" allowOverlap="1">
            <wp:simplePos x="0" y="0"/>
            <wp:positionH relativeFrom="column">
              <wp:posOffset>463550</wp:posOffset>
            </wp:positionH>
            <wp:positionV relativeFrom="paragraph">
              <wp:posOffset>155575</wp:posOffset>
            </wp:positionV>
            <wp:extent cx="4527550" cy="2254885"/>
            <wp:effectExtent l="4445" t="4445" r="20955" b="7620"/>
            <wp:wrapNone/>
            <wp:docPr id="1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color w:val="FF0000"/>
          <w:sz w:val="32"/>
          <w:lang w:val="en-US" w:eastAsia="zh-CN"/>
        </w:rPr>
      </w:pPr>
      <w:r>
        <w:rPr>
          <w:rFonts w:hint="eastAsia" w:ascii="仿宋_GB2312" w:hAnsi="仿宋_GB2312" w:eastAsia="仿宋_GB2312" w:cs="仿宋_GB2312"/>
          <w:color w:val="auto"/>
          <w:sz w:val="32"/>
          <w:lang w:val="en-US" w:eastAsia="zh-CN"/>
        </w:rPr>
        <w:t>2020年财政拨款支出280.31万元，占本年支出合计的9.96%，其中：教育支出153.82万元，占54.87%；社会保障和就业支出116.88万元，占41.7%；卫生健康支出9.61万元，占3.43%。与上年相比，财政拨款支出增加64.21万元，增加29.71%，主要原因是2020年增加了住房补贴、中人退休人员职业年金、离休人员医药费支出，故本部门支出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FF0000"/>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图7：财政拨款支出情况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000000"/>
          <w:sz w:val="32"/>
          <w:lang w:val="en-US" w:eastAsia="zh-CN"/>
        </w:rPr>
      </w:pPr>
      <w:r>
        <w:drawing>
          <wp:anchor distT="0" distB="0" distL="114300" distR="114300" simplePos="0" relativeHeight="251662336" behindDoc="0" locked="0" layoutInCell="1" allowOverlap="1">
            <wp:simplePos x="0" y="0"/>
            <wp:positionH relativeFrom="column">
              <wp:posOffset>681990</wp:posOffset>
            </wp:positionH>
            <wp:positionV relativeFrom="paragraph">
              <wp:posOffset>237490</wp:posOffset>
            </wp:positionV>
            <wp:extent cx="4305300" cy="2392045"/>
            <wp:effectExtent l="5080" t="4445" r="13970" b="22860"/>
            <wp:wrapNone/>
            <wp:docPr id="1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jc w:val="center"/>
        <w:rPr>
          <w:rFonts w:hint="eastAsia" w:ascii="仿宋_GB2312" w:hAnsi="仿宋_GB2312" w:eastAsia="仿宋_GB2312" w:cs="仿宋_GB2312"/>
          <w:color w:val="000000"/>
          <w:sz w:val="32"/>
          <w:lang w:val="en-US" w:eastAsia="zh-CN"/>
        </w:rPr>
      </w:pPr>
    </w:p>
    <w:p>
      <w:pPr>
        <w:pStyle w:val="2"/>
        <w:rPr>
          <w:rFonts w:hint="eastAsia" w:ascii="仿宋_GB2312" w:hAnsi="仿宋_GB2312" w:eastAsia="仿宋_GB2312" w:cs="仿宋_GB2312"/>
          <w:color w:val="000000"/>
          <w:sz w:val="32"/>
          <w:lang w:val="en-US" w:eastAsia="zh-CN"/>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宋体" w:eastAsia="楷体_GB2312" w:cs="楷体_GB2312"/>
          <w:b/>
          <w:color w:val="000000"/>
          <w:kern w:val="0"/>
          <w:sz w:val="32"/>
          <w:szCs w:val="32"/>
          <w:lang w:bidi="ar"/>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宋体" w:eastAsia="楷体_GB2312" w:cs="楷体_GB2312"/>
          <w:b/>
          <w:color w:val="000000"/>
          <w:kern w:val="0"/>
          <w:sz w:val="32"/>
          <w:szCs w:val="32"/>
          <w:lang w:bidi="ar"/>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宋体" w:eastAsia="楷体_GB2312" w:cs="楷体_GB2312"/>
          <w:b/>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before="316" w:beforeLines="100" w:line="580" w:lineRule="exact"/>
        <w:ind w:firstLine="643" w:firstLineChars="200"/>
        <w:textAlignment w:val="auto"/>
        <w:rPr>
          <w:rFonts w:ascii="仿宋_GB2312" w:hAnsi="仿宋" w:eastAsia="仿宋_GB2312"/>
          <w:sz w:val="32"/>
          <w:szCs w:val="32"/>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pPr>
      <w:r>
        <w:rPr>
          <w:rFonts w:hint="eastAsia" w:ascii="仿宋_GB2312" w:hAnsi="宋体" w:eastAsia="仿宋_GB2312" w:cs="仿宋_GB2312"/>
          <w:color w:val="000000"/>
          <w:kern w:val="0"/>
          <w:sz w:val="32"/>
          <w:szCs w:val="32"/>
          <w:lang w:eastAsia="zh-CN" w:bidi="ar"/>
        </w:rPr>
        <w:t>202</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w:t>
      </w:r>
      <w:r>
        <w:rPr>
          <w:rFonts w:ascii="仿宋_GB2312" w:hAnsi="宋体" w:eastAsia="仿宋_GB2312" w:cs="仿宋_GB2312"/>
          <w:color w:val="000000"/>
          <w:kern w:val="0"/>
          <w:sz w:val="32"/>
          <w:szCs w:val="32"/>
          <w:lang w:bidi="ar"/>
        </w:rPr>
        <w:t>财政拨款支出预算为</w:t>
      </w:r>
      <w:r>
        <w:rPr>
          <w:rFonts w:hint="eastAsia" w:ascii="仿宋_GB2312" w:hAnsi="宋体" w:eastAsia="仿宋_GB2312" w:cs="仿宋_GB2312"/>
          <w:color w:val="000000"/>
          <w:kern w:val="0"/>
          <w:sz w:val="32"/>
          <w:szCs w:val="32"/>
          <w:lang w:val="en-US" w:eastAsia="zh-CN" w:bidi="ar"/>
        </w:rPr>
        <w:t>280.31</w:t>
      </w:r>
      <w:r>
        <w:rPr>
          <w:rFonts w:ascii="仿宋_GB2312" w:hAnsi="宋体" w:eastAsia="仿宋_GB2312" w:cs="仿宋_GB2312"/>
          <w:color w:val="000000"/>
          <w:kern w:val="0"/>
          <w:sz w:val="32"/>
          <w:szCs w:val="32"/>
          <w:lang w:bidi="ar"/>
        </w:rPr>
        <w:t>万元，支出决算为</w:t>
      </w:r>
      <w:r>
        <w:rPr>
          <w:rFonts w:hint="eastAsia" w:ascii="仿宋_GB2312" w:hAnsi="仿宋_GB2312" w:eastAsia="仿宋_GB2312" w:cs="仿宋_GB2312"/>
          <w:color w:val="auto"/>
          <w:sz w:val="32"/>
          <w:lang w:val="en-US" w:eastAsia="zh-CN"/>
        </w:rPr>
        <w:t>280.31万元</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 xml:space="preserve">其中：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ascii="仿宋_GB2312" w:hAnsi="宋体" w:eastAsia="仿宋_GB2312" w:cs="仿宋_GB2312"/>
          <w:b/>
          <w:color w:val="000000"/>
          <w:kern w:val="0"/>
          <w:sz w:val="32"/>
          <w:szCs w:val="32"/>
          <w:highlight w:val="none"/>
          <w:lang w:bidi="ar"/>
        </w:rPr>
      </w:pPr>
      <w:r>
        <w:rPr>
          <w:rFonts w:hint="eastAsia" w:ascii="仿宋_GB2312" w:hAnsi="宋体" w:eastAsia="仿宋_GB2312" w:cs="仿宋_GB2312"/>
          <w:b/>
          <w:color w:val="000000"/>
          <w:kern w:val="0"/>
          <w:sz w:val="32"/>
          <w:szCs w:val="32"/>
          <w:highlight w:val="none"/>
          <w:lang w:val="en-US" w:eastAsia="zh-CN" w:bidi="ar"/>
        </w:rPr>
        <w:t>1.教育支出（类）普通教育（款）成人高等教育</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项</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153.82</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129.65</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ascii="仿宋_GB2312" w:hAnsi="宋体" w:eastAsia="仿宋_GB2312" w:cs="仿宋_GB2312"/>
          <w:color w:val="auto"/>
          <w:kern w:val="0"/>
          <w:sz w:val="32"/>
          <w:szCs w:val="32"/>
          <w:highlight w:val="none"/>
          <w:lang w:bidi="ar"/>
        </w:rPr>
        <w:t>决算数</w:t>
      </w:r>
      <w:r>
        <w:rPr>
          <w:rFonts w:hint="eastAsia" w:ascii="仿宋_GB2312" w:hAnsi="宋体" w:eastAsia="仿宋_GB2312" w:cs="仿宋_GB2312"/>
          <w:color w:val="auto"/>
          <w:kern w:val="0"/>
          <w:sz w:val="32"/>
          <w:szCs w:val="32"/>
          <w:highlight w:val="none"/>
          <w:lang w:bidi="ar"/>
        </w:rPr>
        <w:t>与</w:t>
      </w:r>
      <w:r>
        <w:rPr>
          <w:rFonts w:ascii="仿宋_GB2312" w:hAnsi="宋体" w:eastAsia="仿宋_GB2312" w:cs="仿宋_GB2312"/>
          <w:color w:val="auto"/>
          <w:kern w:val="0"/>
          <w:sz w:val="32"/>
          <w:szCs w:val="32"/>
          <w:highlight w:val="none"/>
          <w:lang w:bidi="ar"/>
        </w:rPr>
        <w:t>预算数</w:t>
      </w:r>
      <w:r>
        <w:rPr>
          <w:rFonts w:hint="eastAsia" w:ascii="仿宋_GB2312" w:hAnsi="宋体" w:eastAsia="仿宋_GB2312" w:cs="仿宋_GB2312"/>
          <w:color w:val="auto"/>
          <w:kern w:val="0"/>
          <w:sz w:val="32"/>
          <w:szCs w:val="32"/>
          <w:highlight w:val="none"/>
          <w:lang w:bidi="ar"/>
        </w:rPr>
        <w:t>持平</w:t>
      </w:r>
      <w:r>
        <w:rPr>
          <w:rFonts w:hint="eastAsia" w:ascii="仿宋_GB2312" w:hAnsi="宋体" w:eastAsia="仿宋_GB2312" w:cs="仿宋_GB2312"/>
          <w:color w:val="auto"/>
          <w:kern w:val="0"/>
          <w:sz w:val="32"/>
          <w:szCs w:val="32"/>
          <w:highlight w:val="none"/>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s="仿宋_GB2312"/>
          <w:color w:val="auto"/>
          <w:kern w:val="0"/>
          <w:sz w:val="32"/>
          <w:szCs w:val="32"/>
          <w:highlight w:val="none"/>
          <w:lang w:eastAsia="zh-CN" w:bidi="ar"/>
        </w:rPr>
      </w:pPr>
      <w:r>
        <w:rPr>
          <w:rFonts w:hint="eastAsia" w:ascii="仿宋_GB2312" w:hAnsi="宋体" w:eastAsia="仿宋_GB2312" w:cs="仿宋_GB2312"/>
          <w:b/>
          <w:color w:val="000000"/>
          <w:kern w:val="0"/>
          <w:sz w:val="32"/>
          <w:szCs w:val="32"/>
          <w:highlight w:val="none"/>
          <w:lang w:val="en-US" w:eastAsia="zh-CN" w:bidi="ar"/>
        </w:rPr>
        <w:t>2.社会保障和就业支出（类）社会福利（款）社会福利事业单位</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项</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116.88</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116.88</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ascii="仿宋_GB2312" w:hAnsi="宋体" w:eastAsia="仿宋_GB2312" w:cs="仿宋_GB2312"/>
          <w:color w:val="auto"/>
          <w:kern w:val="0"/>
          <w:sz w:val="32"/>
          <w:szCs w:val="32"/>
          <w:highlight w:val="none"/>
          <w:lang w:bidi="ar"/>
        </w:rPr>
        <w:t>决算数</w:t>
      </w:r>
      <w:r>
        <w:rPr>
          <w:rFonts w:hint="eastAsia" w:ascii="仿宋_GB2312" w:hAnsi="宋体" w:eastAsia="仿宋_GB2312" w:cs="仿宋_GB2312"/>
          <w:color w:val="auto"/>
          <w:kern w:val="0"/>
          <w:sz w:val="32"/>
          <w:szCs w:val="32"/>
          <w:highlight w:val="none"/>
          <w:lang w:bidi="ar"/>
        </w:rPr>
        <w:t>与</w:t>
      </w:r>
      <w:r>
        <w:rPr>
          <w:rFonts w:ascii="仿宋_GB2312" w:hAnsi="宋体" w:eastAsia="仿宋_GB2312" w:cs="仿宋_GB2312"/>
          <w:color w:val="auto"/>
          <w:kern w:val="0"/>
          <w:sz w:val="32"/>
          <w:szCs w:val="32"/>
          <w:highlight w:val="none"/>
          <w:lang w:bidi="ar"/>
        </w:rPr>
        <w:t>预算数</w:t>
      </w:r>
      <w:r>
        <w:rPr>
          <w:rFonts w:hint="eastAsia" w:ascii="仿宋_GB2312" w:hAnsi="宋体" w:eastAsia="仿宋_GB2312" w:cs="仿宋_GB2312"/>
          <w:color w:val="auto"/>
          <w:kern w:val="0"/>
          <w:sz w:val="32"/>
          <w:szCs w:val="32"/>
          <w:highlight w:val="none"/>
          <w:lang w:bidi="ar"/>
        </w:rPr>
        <w:t>持平</w:t>
      </w:r>
      <w:r>
        <w:rPr>
          <w:rFonts w:hint="eastAsia" w:ascii="仿宋_GB2312" w:hAnsi="宋体" w:eastAsia="仿宋_GB2312" w:cs="仿宋_GB2312"/>
          <w:color w:val="auto"/>
          <w:kern w:val="0"/>
          <w:sz w:val="32"/>
          <w:szCs w:val="32"/>
          <w:highlight w:val="none"/>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s="仿宋_GB2312"/>
          <w:b/>
          <w:color w:val="000000"/>
          <w:kern w:val="0"/>
          <w:sz w:val="32"/>
          <w:szCs w:val="32"/>
          <w:highlight w:val="none"/>
          <w:lang w:eastAsia="zh-CN" w:bidi="ar"/>
        </w:rPr>
      </w:pPr>
      <w:r>
        <w:rPr>
          <w:rFonts w:hint="eastAsia" w:ascii="仿宋_GB2312" w:hAnsi="宋体" w:eastAsia="仿宋_GB2312" w:cs="仿宋_GB2312"/>
          <w:b/>
          <w:color w:val="000000"/>
          <w:kern w:val="0"/>
          <w:sz w:val="32"/>
          <w:szCs w:val="32"/>
          <w:highlight w:val="none"/>
          <w:lang w:val="en-US" w:eastAsia="zh-CN" w:bidi="ar"/>
        </w:rPr>
        <w:t>3.卫生健康支出</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类</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行政事业单位医疗</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款</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事业单位医疗</w:t>
      </w:r>
      <w:r>
        <w:rPr>
          <w:rFonts w:hint="eastAsia" w:ascii="仿宋_GB2312" w:hAnsi="宋体" w:eastAsia="仿宋_GB2312" w:cs="仿宋_GB2312"/>
          <w:b/>
          <w:color w:val="000000"/>
          <w:kern w:val="0"/>
          <w:sz w:val="32"/>
          <w:szCs w:val="32"/>
          <w:highlight w:val="none"/>
          <w:lang w:eastAsia="zh-CN" w:bidi="ar"/>
        </w:rPr>
        <w:t>（</w:t>
      </w:r>
      <w:r>
        <w:rPr>
          <w:rFonts w:hint="eastAsia" w:ascii="仿宋_GB2312" w:hAnsi="宋体" w:eastAsia="仿宋_GB2312" w:cs="仿宋_GB2312"/>
          <w:b/>
          <w:color w:val="000000"/>
          <w:kern w:val="0"/>
          <w:sz w:val="32"/>
          <w:szCs w:val="32"/>
          <w:highlight w:val="none"/>
          <w:lang w:val="en-US" w:eastAsia="zh-CN" w:bidi="ar"/>
        </w:rPr>
        <w:t>项</w:t>
      </w:r>
      <w:r>
        <w:rPr>
          <w:rFonts w:hint="eastAsia" w:ascii="仿宋_GB2312" w:hAnsi="宋体" w:eastAsia="仿宋_GB2312" w:cs="仿宋_GB2312"/>
          <w:b/>
          <w:color w:val="000000"/>
          <w:kern w:val="0"/>
          <w:sz w:val="32"/>
          <w:szCs w:val="32"/>
          <w:highlight w:val="none"/>
          <w:lang w:eastAsia="zh-CN" w:bidi="ar"/>
        </w:rPr>
        <w:t>）。</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9.61</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9.61</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r>
        <w:rPr>
          <w:rFonts w:ascii="仿宋_GB2312" w:hAnsi="宋体" w:eastAsia="仿宋_GB2312" w:cs="仿宋_GB2312"/>
          <w:color w:val="auto"/>
          <w:kern w:val="0"/>
          <w:sz w:val="32"/>
          <w:szCs w:val="32"/>
          <w:highlight w:val="none"/>
          <w:lang w:bidi="ar"/>
        </w:rPr>
        <w:t>决算数</w:t>
      </w:r>
      <w:r>
        <w:rPr>
          <w:rFonts w:hint="eastAsia" w:ascii="仿宋_GB2312" w:hAnsi="宋体" w:eastAsia="仿宋_GB2312" w:cs="仿宋_GB2312"/>
          <w:color w:val="auto"/>
          <w:kern w:val="0"/>
          <w:sz w:val="32"/>
          <w:szCs w:val="32"/>
          <w:highlight w:val="none"/>
          <w:lang w:bidi="ar"/>
        </w:rPr>
        <w:t>与</w:t>
      </w:r>
      <w:r>
        <w:rPr>
          <w:rFonts w:ascii="仿宋_GB2312" w:hAnsi="宋体" w:eastAsia="仿宋_GB2312" w:cs="仿宋_GB2312"/>
          <w:color w:val="auto"/>
          <w:kern w:val="0"/>
          <w:sz w:val="32"/>
          <w:szCs w:val="32"/>
          <w:highlight w:val="none"/>
          <w:lang w:bidi="ar"/>
        </w:rPr>
        <w:t>预算数</w:t>
      </w:r>
      <w:r>
        <w:rPr>
          <w:rFonts w:hint="eastAsia" w:ascii="仿宋_GB2312" w:hAnsi="宋体" w:eastAsia="仿宋_GB2312" w:cs="仿宋_GB2312"/>
          <w:color w:val="auto"/>
          <w:kern w:val="0"/>
          <w:sz w:val="32"/>
          <w:szCs w:val="32"/>
          <w:highlight w:val="none"/>
          <w:lang w:bidi="ar"/>
        </w:rPr>
        <w:t>持平</w:t>
      </w:r>
      <w:r>
        <w:rPr>
          <w:rFonts w:hint="eastAsia" w:ascii="仿宋_GB2312" w:hAnsi="宋体" w:eastAsia="仿宋_GB2312" w:cs="仿宋_GB2312"/>
          <w:color w:val="auto"/>
          <w:kern w:val="0"/>
          <w:sz w:val="32"/>
          <w:szCs w:val="32"/>
          <w:highlight w:val="none"/>
          <w:lang w:eastAsia="zh-CN"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kern w:val="0"/>
          <w:sz w:val="32"/>
          <w:szCs w:val="32"/>
          <w:lang w:bidi="ar"/>
        </w:rPr>
      </w:pPr>
      <w:r>
        <w:rPr>
          <w:rFonts w:ascii="仿宋_GB2312" w:hAnsi="仿宋_GB2312" w:eastAsia="仿宋_GB2312" w:cs="仿宋_GB2312"/>
          <w:color w:val="auto"/>
          <w:kern w:val="0"/>
          <w:sz w:val="32"/>
          <w:szCs w:val="32"/>
          <w:lang w:bidi="ar"/>
        </w:rPr>
        <w:t>20</w:t>
      </w:r>
      <w:r>
        <w:rPr>
          <w:rFonts w:hint="eastAsia" w:ascii="仿宋_GB2312" w:hAnsi="仿宋_GB2312" w:eastAsia="仿宋_GB2312" w:cs="仿宋_GB2312"/>
          <w:color w:val="auto"/>
          <w:kern w:val="0"/>
          <w:sz w:val="32"/>
          <w:szCs w:val="32"/>
          <w:lang w:val="en-US" w:eastAsia="zh-CN" w:bidi="ar"/>
        </w:rPr>
        <w:t>20</w:t>
      </w:r>
      <w:r>
        <w:rPr>
          <w:rFonts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val="en-US" w:eastAsia="zh-CN" w:bidi="ar"/>
        </w:rPr>
        <w:t>度</w:t>
      </w:r>
      <w:r>
        <w:rPr>
          <w:rFonts w:ascii="仿宋_GB2312" w:hAnsi="仿宋_GB2312" w:eastAsia="仿宋_GB2312" w:cs="仿宋_GB2312"/>
          <w:color w:val="auto"/>
          <w:kern w:val="0"/>
          <w:sz w:val="32"/>
          <w:szCs w:val="32"/>
          <w:lang w:bidi="ar"/>
        </w:rPr>
        <w:t>一般公共预算财政拨款基本支出</w:t>
      </w:r>
      <w:r>
        <w:rPr>
          <w:rFonts w:hint="eastAsia" w:ascii="仿宋_GB2312" w:hAnsi="仿宋_GB2312" w:eastAsia="仿宋_GB2312" w:cs="仿宋_GB2312"/>
          <w:color w:val="auto"/>
          <w:kern w:val="0"/>
          <w:sz w:val="32"/>
          <w:szCs w:val="32"/>
          <w:lang w:val="en-US" w:eastAsia="zh-CN" w:bidi="ar"/>
        </w:rPr>
        <w:t>280.31</w:t>
      </w:r>
      <w:r>
        <w:rPr>
          <w:rFonts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包括</w:t>
      </w:r>
      <w:r>
        <w:rPr>
          <w:rFonts w:ascii="仿宋_GB2312" w:hAnsi="仿宋_GB2312" w:eastAsia="仿宋_GB2312" w:cs="仿宋_GB2312"/>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支出278.22</w:t>
      </w:r>
      <w:r>
        <w:rPr>
          <w:rFonts w:ascii="仿宋_GB2312" w:hAnsi="仿宋_GB2312" w:eastAsia="仿宋_GB2312" w:cs="仿宋_GB2312"/>
          <w:color w:val="auto"/>
          <w:kern w:val="0"/>
          <w:sz w:val="32"/>
          <w:szCs w:val="32"/>
          <w:lang w:bidi="ar"/>
        </w:rPr>
        <w:t>万元和公用经费</w:t>
      </w:r>
      <w:r>
        <w:rPr>
          <w:rFonts w:hint="eastAsia" w:ascii="仿宋_GB2312" w:hAnsi="仿宋_GB2312" w:eastAsia="仿宋_GB2312" w:cs="仿宋_GB2312"/>
          <w:color w:val="auto"/>
          <w:kern w:val="0"/>
          <w:sz w:val="32"/>
          <w:szCs w:val="32"/>
          <w:lang w:val="en-US" w:eastAsia="zh-CN" w:bidi="ar"/>
        </w:rPr>
        <w:t>支出2.09</w:t>
      </w:r>
      <w:r>
        <w:rPr>
          <w:rFonts w:ascii="仿宋_GB2312" w:hAnsi="仿宋_GB2312" w:eastAsia="仿宋_GB2312" w:cs="仿宋_GB2312"/>
          <w:color w:val="auto"/>
          <w:kern w:val="0"/>
          <w:sz w:val="32"/>
          <w:szCs w:val="32"/>
          <w:lang w:bidi="ar"/>
        </w:rPr>
        <w:t>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宋体" w:eastAsia="仿宋_GB2312" w:cs="仿宋_GB2312"/>
          <w:color w:val="auto"/>
          <w:kern w:val="0"/>
          <w:sz w:val="32"/>
          <w:szCs w:val="32"/>
          <w:lang w:bidi="ar"/>
        </w:rPr>
      </w:pPr>
      <w:r>
        <w:rPr>
          <w:rFonts w:ascii="仿宋_GB2312" w:hAnsi="宋体" w:eastAsia="仿宋_GB2312" w:cs="仿宋_GB2312"/>
          <w:b/>
          <w:bCs/>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278.22</w:t>
      </w:r>
      <w:r>
        <w:rPr>
          <w:rFonts w:ascii="仿宋_GB2312" w:hAnsi="宋体" w:eastAsia="仿宋_GB2312" w:cs="仿宋_GB2312"/>
          <w:color w:val="auto"/>
          <w:kern w:val="0"/>
          <w:sz w:val="32"/>
          <w:szCs w:val="32"/>
          <w:lang w:bidi="ar"/>
        </w:rPr>
        <w:t>万元，主要包括基本工资</w:t>
      </w:r>
      <w:r>
        <w:rPr>
          <w:rFonts w:hint="eastAsia" w:ascii="仿宋_GB2312" w:hAnsi="宋体" w:eastAsia="仿宋_GB2312" w:cs="仿宋_GB2312"/>
          <w:color w:val="auto"/>
          <w:kern w:val="0"/>
          <w:sz w:val="32"/>
          <w:szCs w:val="32"/>
          <w:lang w:val="en-US" w:eastAsia="zh-CN" w:bidi="ar"/>
        </w:rPr>
        <w:t>15.93</w:t>
      </w:r>
      <w:r>
        <w:rPr>
          <w:rFonts w:hint="eastAsia" w:ascii="仿宋_GB2312" w:hAnsi="宋体" w:eastAsia="仿宋_GB2312" w:cs="仿宋_GB2312"/>
          <w:color w:val="auto"/>
          <w:kern w:val="0"/>
          <w:sz w:val="32"/>
          <w:szCs w:val="32"/>
          <w:lang w:bidi="ar"/>
        </w:rPr>
        <w:t>万元</w:t>
      </w:r>
      <w:r>
        <w:rPr>
          <w:rFonts w:hint="eastAsia" w:ascii="仿宋_GB2312" w:hAnsi="宋体" w:eastAsia="仿宋_GB2312" w:cs="仿宋_GB2312"/>
          <w:color w:val="auto"/>
          <w:kern w:val="0"/>
          <w:sz w:val="32"/>
          <w:szCs w:val="32"/>
          <w:lang w:eastAsia="zh-CN" w:bidi="ar"/>
        </w:rPr>
        <w:t>、</w:t>
      </w:r>
      <w:r>
        <w:rPr>
          <w:rFonts w:hint="eastAsia" w:ascii="仿宋_GB2312" w:hAnsi="宋体" w:eastAsia="仿宋_GB2312" w:cs="仿宋_GB2312"/>
          <w:color w:val="auto"/>
          <w:kern w:val="0"/>
          <w:sz w:val="32"/>
          <w:szCs w:val="32"/>
          <w:lang w:val="en-US" w:eastAsia="zh-CN" w:bidi="ar"/>
        </w:rPr>
        <w:t>津贴补贴14.71万元、机关事业单位基本养老保险缴费60.15万元、职业年金缴费44.55万元、职工基本医疗保险缴费38.29万元、住房公积金24.17万元、医疗费9.61万元、离休费70.81万元</w:t>
      </w:r>
      <w:r>
        <w:rPr>
          <w:rFonts w:hint="eastAsia" w:ascii="仿宋_GB2312" w:hAnsi="宋体" w:eastAsia="仿宋_GB2312" w:cs="仿宋_GB2312"/>
          <w:color w:val="auto"/>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color w:val="auto"/>
          <w:sz w:val="32"/>
          <w:szCs w:val="32"/>
        </w:rPr>
      </w:pPr>
      <w:r>
        <w:rPr>
          <w:rFonts w:ascii="仿宋_GB2312" w:hAnsi="宋体" w:eastAsia="仿宋_GB2312" w:cs="仿宋_GB2312"/>
          <w:b/>
          <w:bCs/>
          <w:color w:val="auto"/>
          <w:kern w:val="0"/>
          <w:sz w:val="32"/>
          <w:szCs w:val="32"/>
          <w:lang w:bidi="ar"/>
        </w:rPr>
        <w:t>公用经费</w:t>
      </w:r>
      <w:r>
        <w:rPr>
          <w:rFonts w:hint="eastAsia" w:ascii="仿宋_GB2312" w:hAnsi="仿宋_GB2312" w:eastAsia="仿宋_GB2312" w:cs="仿宋_GB2312"/>
          <w:color w:val="auto"/>
          <w:kern w:val="0"/>
          <w:sz w:val="32"/>
          <w:szCs w:val="32"/>
          <w:lang w:val="en-US" w:eastAsia="zh-CN" w:bidi="ar"/>
        </w:rPr>
        <w:t>2.09</w:t>
      </w:r>
      <w:r>
        <w:rPr>
          <w:rFonts w:ascii="仿宋_GB2312" w:hAnsi="宋体" w:eastAsia="仿宋_GB2312" w:cs="仿宋_GB2312"/>
          <w:color w:val="auto"/>
          <w:kern w:val="0"/>
          <w:sz w:val="32"/>
          <w:szCs w:val="32"/>
          <w:lang w:bidi="ar"/>
        </w:rPr>
        <w:t>万元，主要包括</w:t>
      </w:r>
      <w:r>
        <w:rPr>
          <w:rFonts w:hint="eastAsia" w:ascii="仿宋_GB2312" w:hAnsi="宋体" w:eastAsia="仿宋_GB2312" w:cs="仿宋_GB2312"/>
          <w:color w:val="auto"/>
          <w:kern w:val="0"/>
          <w:sz w:val="32"/>
          <w:szCs w:val="32"/>
          <w:lang w:val="en-US" w:eastAsia="zh-CN" w:bidi="ar"/>
        </w:rPr>
        <w:t>工会经费0.57万元、其他商品和服务支出1.52万元</w:t>
      </w:r>
      <w:r>
        <w:rPr>
          <w:rFonts w:hint="eastAsia" w:ascii="仿宋_GB2312" w:hAnsi="宋体" w:eastAsia="仿宋_GB2312" w:cs="仿宋_GB2312"/>
          <w:color w:val="auto"/>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七、一般公共预算财政拨款“三公”经费及会议费、培训费支出决算情况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本部门无一般公共预算财政拨款“三公”经费及会议费、培训费支出，并已公开空表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本部门无机关运行经费支出情况</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政府采购支出情况。</w:t>
      </w:r>
    </w:p>
    <w:p>
      <w:pPr>
        <w:keepNext w:val="0"/>
        <w:keepLines w:val="0"/>
        <w:pageBreakBefore w:val="0"/>
        <w:widowControl/>
        <w:numPr>
          <w:ilvl w:val="0"/>
          <w:numId w:val="3"/>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年末，本单位共有车辆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为机要通信用车</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auto"/>
          <w:kern w:val="0"/>
          <w:sz w:val="32"/>
          <w:szCs w:val="32"/>
          <w:highlight w:val="none"/>
          <w:lang w:bidi="ar"/>
        </w:rPr>
      </w:pPr>
      <w:r>
        <w:rPr>
          <w:rFonts w:hint="eastAsia" w:ascii="黑体" w:hAnsi="黑体" w:eastAsia="黑体"/>
          <w:color w:val="auto"/>
          <w:kern w:val="0"/>
          <w:sz w:val="32"/>
          <w:szCs w:val="32"/>
          <w:highlight w:val="none"/>
          <w:lang w:eastAsia="zh-CN" w:bidi="ar"/>
        </w:rPr>
        <w:t>十三、</w:t>
      </w:r>
      <w:r>
        <w:rPr>
          <w:rFonts w:hint="eastAsia" w:ascii="黑体" w:hAnsi="黑体" w:eastAsia="黑体"/>
          <w:color w:val="auto"/>
          <w:kern w:val="0"/>
          <w:sz w:val="32"/>
          <w:szCs w:val="32"/>
          <w:highlight w:val="none"/>
          <w:lang w:bidi="ar"/>
        </w:rPr>
        <w:t>预算绩效情况</w:t>
      </w:r>
      <w:r>
        <w:rPr>
          <w:rFonts w:hint="eastAsia" w:ascii="黑体" w:hAnsi="黑体" w:eastAsia="黑体"/>
          <w:color w:val="auto"/>
          <w:kern w:val="0"/>
          <w:sz w:val="32"/>
          <w:szCs w:val="32"/>
          <w:highlight w:val="none"/>
          <w:lang w:eastAsia="zh-CN" w:bidi="ar"/>
        </w:rPr>
        <w:t>说明</w:t>
      </w:r>
    </w:p>
    <w:p>
      <w:pPr>
        <w:keepNext w:val="0"/>
        <w:keepLines w:val="0"/>
        <w:pageBreakBefore w:val="0"/>
        <w:widowControl/>
        <w:kinsoku/>
        <w:wordWrap/>
        <w:overflowPunct/>
        <w:topLinePunct w:val="0"/>
        <w:autoSpaceDE/>
        <w:autoSpaceDN/>
        <w:bidi w:val="0"/>
        <w:spacing w:line="560" w:lineRule="exact"/>
        <w:ind w:left="1281" w:leftChars="304" w:hanging="643" w:hangingChars="200"/>
        <w:jc w:val="left"/>
        <w:textAlignment w:val="auto"/>
        <w:rPr>
          <w:rFonts w:ascii="楷体_GB2312" w:hAnsi="宋体" w:eastAsia="楷体_GB2312" w:cs="楷体_GB2312"/>
          <w:b/>
          <w:color w:val="auto"/>
          <w:kern w:val="0"/>
          <w:sz w:val="32"/>
          <w:szCs w:val="32"/>
          <w:lang w:bidi="ar"/>
        </w:rPr>
      </w:pPr>
      <w:r>
        <w:rPr>
          <w:rFonts w:hint="eastAsia" w:ascii="楷体_GB2312" w:hAnsi="宋体" w:eastAsia="楷体_GB2312" w:cs="楷体_GB2312"/>
          <w:b/>
          <w:color w:val="auto"/>
          <w:kern w:val="0"/>
          <w:sz w:val="32"/>
          <w:szCs w:val="32"/>
          <w:lang w:bidi="ar"/>
        </w:rPr>
        <w:t>（一）</w:t>
      </w:r>
      <w:r>
        <w:rPr>
          <w:rFonts w:ascii="楷体_GB2312" w:hAnsi="宋体" w:eastAsia="楷体_GB2312" w:cs="楷体_GB2312"/>
          <w:b/>
          <w:color w:val="auto"/>
          <w:kern w:val="0"/>
          <w:sz w:val="32"/>
          <w:szCs w:val="32"/>
          <w:lang w:bidi="ar"/>
        </w:rPr>
        <w:t>预算绩效管理工作开展情况</w:t>
      </w:r>
      <w:r>
        <w:rPr>
          <w:rFonts w:hint="eastAsia" w:ascii="楷体_GB2312" w:hAnsi="宋体" w:eastAsia="楷体_GB2312" w:cs="楷体_GB2312"/>
          <w:b/>
          <w:color w:val="auto"/>
          <w:kern w:val="0"/>
          <w:sz w:val="32"/>
          <w:szCs w:val="32"/>
          <w:lang w:eastAsia="zh-CN" w:bidi="ar"/>
        </w:rPr>
        <w:t>说明</w:t>
      </w:r>
      <w:r>
        <w:rPr>
          <w:rFonts w:ascii="楷体_GB2312" w:hAnsi="宋体" w:eastAsia="楷体_GB2312" w:cs="楷体_GB2312"/>
          <w:b/>
          <w:color w:val="auto"/>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40"/>
          <w:lang w:val="en-US" w:eastAsia="zh-CN"/>
        </w:rPr>
      </w:pPr>
      <w:r>
        <w:rPr>
          <w:rFonts w:hint="eastAsia" w:ascii="仿宋" w:hAnsi="仿宋" w:eastAsia="仿宋" w:cs="仿宋"/>
          <w:color w:val="auto"/>
          <w:sz w:val="32"/>
          <w:szCs w:val="40"/>
          <w:highlight w:val="none"/>
          <w:lang w:val="en-US" w:eastAsia="zh-CN"/>
        </w:rPr>
        <w:t xml:space="preserve"> </w:t>
      </w:r>
      <w:r>
        <w:rPr>
          <w:rFonts w:hint="eastAsia" w:ascii="楷体_GB2312" w:hAnsi="宋体" w:eastAsia="楷体_GB2312" w:cs="楷体_GB2312"/>
          <w:b/>
          <w:color w:val="FF0000"/>
          <w:kern w:val="0"/>
          <w:sz w:val="32"/>
          <w:szCs w:val="32"/>
          <w:lang w:bidi="ar"/>
        </w:rPr>
        <w:t xml:space="preserve"> </w:t>
      </w:r>
      <w:r>
        <w:rPr>
          <w:rFonts w:hint="eastAsia" w:ascii="仿宋" w:hAnsi="仿宋" w:eastAsia="仿宋" w:cs="仿宋"/>
          <w:sz w:val="32"/>
          <w:szCs w:val="40"/>
          <w:lang w:val="en-US" w:eastAsia="zh-CN"/>
        </w:rPr>
        <w:t>本部门支出全为一般公共预算基本支出，无一般公共预算项目支出，故无</w:t>
      </w:r>
      <w:r>
        <w:rPr>
          <w:rFonts w:ascii="仿宋_GB2312" w:hAnsi="仿宋_GB2312" w:eastAsia="仿宋_GB2312" w:cs="仿宋_GB2312"/>
          <w:color w:val="auto"/>
          <w:kern w:val="0"/>
          <w:sz w:val="32"/>
          <w:szCs w:val="32"/>
          <w:highlight w:val="none"/>
          <w:lang w:bidi="ar"/>
        </w:rPr>
        <w:t>项目支出绩效</w:t>
      </w:r>
      <w:r>
        <w:rPr>
          <w:rFonts w:hint="eastAsia" w:ascii="仿宋_GB2312" w:hAnsi="仿宋_GB2312" w:eastAsia="仿宋_GB2312" w:cs="仿宋_GB2312"/>
          <w:color w:val="auto"/>
          <w:kern w:val="0"/>
          <w:sz w:val="32"/>
          <w:szCs w:val="32"/>
          <w:highlight w:val="none"/>
          <w:lang w:eastAsia="zh-CN" w:bidi="ar"/>
        </w:rPr>
        <w:t>评价。</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 w:hAnsi="仿宋" w:eastAsia="仿宋" w:cs="仿宋"/>
          <w:sz w:val="32"/>
          <w:szCs w:val="40"/>
          <w:lang w:val="en-US" w:eastAsia="zh-CN"/>
        </w:rPr>
        <w:t>本部门支出全为一般公共预算基本支出，无一般公共预算项目支出，故无</w:t>
      </w:r>
      <w:r>
        <w:rPr>
          <w:rFonts w:ascii="仿宋_GB2312" w:hAnsi="仿宋_GB2312" w:eastAsia="仿宋_GB2312" w:cs="仿宋_GB2312"/>
          <w:color w:val="auto"/>
          <w:kern w:val="0"/>
          <w:sz w:val="32"/>
          <w:szCs w:val="32"/>
          <w:highlight w:val="none"/>
          <w:lang w:bidi="ar"/>
        </w:rPr>
        <w:t>项目支出绩效</w:t>
      </w:r>
      <w:r>
        <w:rPr>
          <w:rFonts w:hint="eastAsia" w:ascii="仿宋_GB2312" w:hAnsi="仿宋_GB2312" w:eastAsia="仿宋_GB2312" w:cs="仿宋_GB2312"/>
          <w:color w:val="auto"/>
          <w:kern w:val="0"/>
          <w:sz w:val="32"/>
          <w:szCs w:val="32"/>
          <w:highlight w:val="none"/>
          <w:lang w:val="en-US" w:eastAsia="zh-CN" w:bidi="ar"/>
        </w:rPr>
        <w:t>自评。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（三）部门整体支出绩效自评结果。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color w:val="auto"/>
          <w:sz w:val="32"/>
          <w:szCs w:val="40"/>
          <w:highlight w:val="none"/>
          <w:lang w:val="en-US" w:eastAsia="zh-CN"/>
        </w:rPr>
      </w:pPr>
      <w:r>
        <w:rPr>
          <w:rFonts w:hint="eastAsia" w:ascii="仿宋" w:hAnsi="仿宋" w:eastAsia="仿宋" w:cs="仿宋"/>
          <w:color w:val="auto"/>
          <w:sz w:val="32"/>
          <w:szCs w:val="40"/>
          <w:highlight w:val="none"/>
          <w:lang w:val="en-US" w:eastAsia="zh-CN"/>
        </w:rPr>
        <w:t>按照部门整体支出绩效自评指标体系对比，本部门自评得分96分。2020年一般公共预算支出共涉及资金280.31万元，其中人员经费支出278.22万元，公用经费支出2.09万元。预算资金的使用按照预算批复的用途规范运行，符合国家财经法规和预算财务管理制度规定，截至2020年底，财政预算资金执行率为100% 。 2020</w:t>
      </w:r>
      <w:r>
        <w:rPr>
          <w:rFonts w:hint="default" w:ascii="仿宋" w:hAnsi="仿宋" w:eastAsia="仿宋" w:cs="仿宋"/>
          <w:color w:val="auto"/>
          <w:sz w:val="32"/>
          <w:szCs w:val="40"/>
          <w:highlight w:val="none"/>
          <w:lang w:val="en-US" w:eastAsia="zh-CN"/>
        </w:rPr>
        <w:t>年，根据本</w:t>
      </w:r>
      <w:r>
        <w:rPr>
          <w:rFonts w:hint="eastAsia" w:ascii="仿宋" w:hAnsi="仿宋" w:eastAsia="仿宋" w:cs="仿宋"/>
          <w:color w:val="auto"/>
          <w:sz w:val="32"/>
          <w:szCs w:val="40"/>
          <w:highlight w:val="none"/>
          <w:lang w:val="en-US" w:eastAsia="zh-CN"/>
        </w:rPr>
        <w:t>部门</w:t>
      </w:r>
      <w:r>
        <w:rPr>
          <w:rFonts w:hint="default" w:ascii="仿宋" w:hAnsi="仿宋" w:eastAsia="仿宋" w:cs="仿宋"/>
          <w:color w:val="auto"/>
          <w:sz w:val="32"/>
          <w:szCs w:val="40"/>
          <w:highlight w:val="none"/>
          <w:lang w:val="en-US" w:eastAsia="zh-CN"/>
        </w:rPr>
        <w:t>年初工作规划和重点工作，围绕省</w:t>
      </w:r>
      <w:r>
        <w:rPr>
          <w:rFonts w:hint="eastAsia" w:ascii="仿宋" w:hAnsi="仿宋" w:eastAsia="仿宋" w:cs="仿宋"/>
          <w:color w:val="auto"/>
          <w:sz w:val="32"/>
          <w:szCs w:val="40"/>
          <w:highlight w:val="none"/>
          <w:lang w:val="en-US" w:eastAsia="zh-CN"/>
        </w:rPr>
        <w:t>总</w:t>
      </w:r>
      <w:r>
        <w:rPr>
          <w:rFonts w:hint="default" w:ascii="仿宋" w:hAnsi="仿宋" w:eastAsia="仿宋" w:cs="仿宋"/>
          <w:color w:val="auto"/>
          <w:sz w:val="32"/>
          <w:szCs w:val="40"/>
          <w:highlight w:val="none"/>
          <w:lang w:val="en-US" w:eastAsia="zh-CN"/>
        </w:rPr>
        <w:t>的</w:t>
      </w:r>
      <w:r>
        <w:rPr>
          <w:rFonts w:hint="eastAsia" w:ascii="仿宋" w:hAnsi="仿宋" w:eastAsia="仿宋" w:cs="仿宋"/>
          <w:color w:val="auto"/>
          <w:sz w:val="32"/>
          <w:szCs w:val="40"/>
          <w:highlight w:val="none"/>
          <w:lang w:val="en-US" w:eastAsia="zh-CN"/>
        </w:rPr>
        <w:t>全局</w:t>
      </w:r>
      <w:r>
        <w:rPr>
          <w:rFonts w:hint="default" w:ascii="仿宋" w:hAnsi="仿宋" w:eastAsia="仿宋" w:cs="仿宋"/>
          <w:color w:val="auto"/>
          <w:sz w:val="32"/>
          <w:szCs w:val="40"/>
          <w:highlight w:val="none"/>
          <w:lang w:val="en-US" w:eastAsia="zh-CN"/>
        </w:rPr>
        <w:t>部署，</w:t>
      </w:r>
      <w:r>
        <w:rPr>
          <w:rFonts w:hint="eastAsia" w:ascii="仿宋" w:hAnsi="仿宋" w:eastAsia="仿宋" w:cs="仿宋"/>
          <w:color w:val="auto"/>
          <w:sz w:val="32"/>
          <w:szCs w:val="40"/>
          <w:highlight w:val="none"/>
          <w:lang w:val="en-US" w:eastAsia="zh-CN"/>
        </w:rPr>
        <w:t>认真</w:t>
      </w:r>
      <w:r>
        <w:rPr>
          <w:rFonts w:hint="default" w:ascii="仿宋" w:hAnsi="仿宋" w:eastAsia="仿宋" w:cs="仿宋"/>
          <w:color w:val="auto"/>
          <w:sz w:val="32"/>
          <w:szCs w:val="40"/>
          <w:highlight w:val="none"/>
          <w:lang w:val="en-US" w:eastAsia="zh-CN"/>
        </w:rPr>
        <w:t>履行职责，强化管理，</w:t>
      </w:r>
      <w:r>
        <w:rPr>
          <w:rFonts w:hint="eastAsia" w:ascii="仿宋" w:hAnsi="仿宋" w:eastAsia="仿宋" w:cs="仿宋"/>
          <w:color w:val="auto"/>
          <w:sz w:val="32"/>
          <w:szCs w:val="40"/>
          <w:highlight w:val="none"/>
          <w:lang w:val="en-US" w:eastAsia="zh-CN"/>
        </w:rPr>
        <w:t>顺利</w:t>
      </w:r>
      <w:r>
        <w:rPr>
          <w:rFonts w:hint="default" w:ascii="仿宋" w:hAnsi="仿宋" w:eastAsia="仿宋" w:cs="仿宋"/>
          <w:color w:val="auto"/>
          <w:sz w:val="32"/>
          <w:szCs w:val="40"/>
          <w:highlight w:val="none"/>
          <w:lang w:val="en-US" w:eastAsia="zh-CN"/>
        </w:rPr>
        <w:t>完成了年度工作</w:t>
      </w:r>
      <w:r>
        <w:rPr>
          <w:rFonts w:hint="eastAsia" w:ascii="仿宋" w:hAnsi="仿宋" w:eastAsia="仿宋" w:cs="仿宋"/>
          <w:color w:val="auto"/>
          <w:sz w:val="32"/>
          <w:szCs w:val="40"/>
          <w:highlight w:val="none"/>
          <w:lang w:val="en-US" w:eastAsia="zh-CN"/>
        </w:rPr>
        <w:t>任务</w:t>
      </w:r>
      <w:r>
        <w:rPr>
          <w:rFonts w:hint="default" w:ascii="仿宋" w:hAnsi="仿宋" w:eastAsia="仿宋" w:cs="仿宋"/>
          <w:color w:val="auto"/>
          <w:sz w:val="32"/>
          <w:szCs w:val="40"/>
          <w:highlight w:val="none"/>
          <w:lang w:val="en-US" w:eastAsia="zh-CN"/>
        </w:rPr>
        <w:t>，同时加强预算收支的管理，建立健全内部管理制度，严格内部管理流程</w:t>
      </w:r>
      <w:r>
        <w:rPr>
          <w:rFonts w:hint="eastAsia" w:ascii="仿宋" w:hAnsi="仿宋" w:eastAsia="仿宋" w:cs="仿宋"/>
          <w:color w:val="auto"/>
          <w:sz w:val="32"/>
          <w:szCs w:val="40"/>
          <w:highlight w:val="none"/>
          <w:lang w:val="en-US" w:eastAsia="zh-CN"/>
        </w:rPr>
        <w:t>。下一步在制度的完善和细化方面仍需进一步改进，并不断加强财务收支情况分析，使单位预算编制更加科学合理，决算执行更加高效</w:t>
      </w:r>
      <w:r>
        <w:rPr>
          <w:rFonts w:hint="default" w:ascii="仿宋" w:hAnsi="仿宋" w:eastAsia="仿宋" w:cs="仿宋"/>
          <w:color w:val="auto"/>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瀹嬩綋" w:hAnsi="瀹嬩綋" w:eastAsia="瀹嬩綋" w:cs="瀹嬩綋"/>
          <w:i w:val="0"/>
          <w:caps w:val="0"/>
          <w:color w:val="000000"/>
          <w:spacing w:val="0"/>
          <w:sz w:val="21"/>
          <w:szCs w:val="21"/>
          <w:highlight w:val="none"/>
          <w:lang w:val="en-US"/>
        </w:rPr>
      </w:pPr>
      <w:r>
        <w:rPr>
          <w:rFonts w:hint="eastAsia" w:ascii="仿宋" w:hAnsi="仿宋" w:eastAsia="仿宋" w:cs="仿宋"/>
          <w:sz w:val="32"/>
          <w:szCs w:val="40"/>
          <w:highlight w:val="none"/>
          <w:lang w:val="en-US" w:eastAsia="zh-CN"/>
        </w:rPr>
        <w:t>发现的问题及原因：资产管理</w:t>
      </w:r>
      <w:r>
        <w:rPr>
          <w:rFonts w:hint="default" w:ascii="仿宋" w:hAnsi="仿宋" w:eastAsia="仿宋" w:cs="仿宋"/>
          <w:sz w:val="32"/>
          <w:szCs w:val="40"/>
          <w:highlight w:val="none"/>
          <w:lang w:val="en-US" w:eastAsia="zh-CN"/>
        </w:rPr>
        <w:t>有待更</w:t>
      </w:r>
      <w:r>
        <w:rPr>
          <w:rFonts w:hint="eastAsia" w:ascii="仿宋" w:hAnsi="仿宋" w:eastAsia="仿宋" w:cs="仿宋"/>
          <w:sz w:val="32"/>
          <w:szCs w:val="40"/>
          <w:highlight w:val="none"/>
          <w:lang w:val="en-US" w:eastAsia="zh-CN"/>
        </w:rPr>
        <w:t>规范</w:t>
      </w:r>
      <w:r>
        <w:rPr>
          <w:rFonts w:hint="default" w:ascii="仿宋" w:hAnsi="仿宋" w:eastAsia="仿宋" w:cs="仿宋"/>
          <w:sz w:val="32"/>
          <w:szCs w:val="40"/>
          <w:highlight w:val="none"/>
          <w:lang w:val="en-US" w:eastAsia="zh-CN"/>
        </w:rPr>
        <w:t>执行</w:t>
      </w:r>
      <w:r>
        <w:rPr>
          <w:rFonts w:hint="eastAsia" w:ascii="仿宋" w:hAnsi="仿宋" w:eastAsia="仿宋" w:cs="仿宋"/>
          <w:sz w:val="32"/>
          <w:szCs w:val="40"/>
          <w:highlight w:val="none"/>
          <w:lang w:val="en-US" w:eastAsia="zh-CN"/>
        </w:rPr>
        <w:t>，部分资产的管理不够细化</w:t>
      </w:r>
      <w:r>
        <w:rPr>
          <w:rFonts w:hint="default" w:ascii="仿宋" w:hAnsi="仿宋" w:eastAsia="仿宋" w:cs="仿宋"/>
          <w:sz w:val="32"/>
          <w:szCs w:val="40"/>
          <w:highlight w:val="none"/>
          <w:lang w:val="en-US" w:eastAsia="zh-CN"/>
        </w:rPr>
        <w:t>。</w:t>
      </w:r>
      <w:r>
        <w:rPr>
          <w:rFonts w:hint="eastAsia" w:ascii="仿宋" w:hAnsi="仿宋" w:eastAsia="仿宋" w:cs="仿宋"/>
          <w:sz w:val="32"/>
          <w:szCs w:val="40"/>
          <w:highlight w:val="none"/>
          <w:lang w:val="en-US" w:eastAsia="zh-CN"/>
        </w:rPr>
        <w:t>下一步改进措施：制定更加详细的资产管理规定制度，并按照制度严格执行。</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object>
          <v:shape id="_x0000_i1025" o:spt="75" type="#_x0000_t75" style="height:672.4pt;width:450.1pt;" o:ole="t" filled="f" o:preferrelative="t" stroked="f" coordsize="21600,21600">
            <v:path/>
            <v:fill on="f" focussize="0,0"/>
            <v:stroke on="f"/>
            <v:imagedata r:id="rId15" o:title=""/>
            <o:lock v:ext="edit" aspectratio="t"/>
            <w10:wrap type="none"/>
            <w10:anchorlock/>
          </v:shape>
          <o:OLEObject Type="Embed" ProgID="Excel.Sheet.12" ShapeID="_x0000_i1025" DrawAspect="Content" ObjectID="_1468075725" r:id="rId14">
            <o:LockedField>false</o:LockedField>
          </o:OLEObject>
        </w:object>
      </w: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第四部分 专业名词解释</w:t>
      </w:r>
    </w:p>
    <w:p>
      <w:pPr>
        <w:jc w:val="center"/>
        <w:rPr>
          <w:rFonts w:hint="eastAsia" w:ascii="方正小标宋简体" w:hAnsi="方正小标宋简体" w:eastAsia="方正小标宋简体" w:cs="方正小标宋简体"/>
          <w:color w:val="000000"/>
          <w:kern w:val="0"/>
          <w:sz w:val="28"/>
          <w:szCs w:val="28"/>
          <w:lang w:bidi="ar"/>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modern"/>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瀹嬩綋">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AXD62AAAAAgB&#10;AAAPAAAAAAAAAAEAIAAAACIAAABkcnMvZG93bnJldi54bWxQSwECFAAUAAAACACHTuJA3QP4kBsC&#10;AAATBAAADgAAAAAAAAABACAAAAAnAQAAZHJzL2Uyb0RvYy54bWxQSwUGAAAAAAYABgBZAQAAtAUA&#10;AAAA&#10;">
              <v:fill on="f" focussize="0,0"/>
              <v:stroke on="f" weight="0.5pt"/>
              <v:imagedata o:title=""/>
              <o:lock v:ext="edit" aspectratio="f"/>
              <v:textbox inset="0mm,0mm,0mm,0mm">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9E29C"/>
    <w:multiLevelType w:val="singleLevel"/>
    <w:tmpl w:val="E559E29C"/>
    <w:lvl w:ilvl="0" w:tentative="0">
      <w:start w:val="2"/>
      <w:numFmt w:val="chineseCounting"/>
      <w:suff w:val="nothing"/>
      <w:lvlText w:val="%1、"/>
      <w:lvlJc w:val="left"/>
      <w:rPr>
        <w:rFonts w:hint="eastAsia"/>
      </w:rPr>
    </w:lvl>
  </w:abstractNum>
  <w:abstractNum w:abstractNumId="1">
    <w:nsid w:val="0470DF41"/>
    <w:multiLevelType w:val="singleLevel"/>
    <w:tmpl w:val="0470DF41"/>
    <w:lvl w:ilvl="0" w:tentative="0">
      <w:start w:val="2"/>
      <w:numFmt w:val="chineseCounting"/>
      <w:suff w:val="space"/>
      <w:lvlText w:val="第%1部分"/>
      <w:lvlJc w:val="left"/>
      <w:rPr>
        <w:rFonts w:hint="eastAsia"/>
      </w:rPr>
    </w:lvl>
  </w:abstractNum>
  <w:abstractNum w:abstractNumId="2">
    <w:nsid w:val="4A0CDB52"/>
    <w:multiLevelType w:val="singleLevel"/>
    <w:tmpl w:val="4A0CDB52"/>
    <w:lvl w:ilvl="0" w:tentative="0">
      <w:start w:val="1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23E20"/>
    <w:rsid w:val="0882434B"/>
    <w:rsid w:val="17F56CDF"/>
    <w:rsid w:val="1E18624D"/>
    <w:rsid w:val="1F1A6564"/>
    <w:rsid w:val="226916AF"/>
    <w:rsid w:val="24280899"/>
    <w:rsid w:val="24373116"/>
    <w:rsid w:val="2A881370"/>
    <w:rsid w:val="2B0707EC"/>
    <w:rsid w:val="2E3319DA"/>
    <w:rsid w:val="316A2080"/>
    <w:rsid w:val="3F9B0091"/>
    <w:rsid w:val="42E82873"/>
    <w:rsid w:val="44024F75"/>
    <w:rsid w:val="478B7E78"/>
    <w:rsid w:val="49177FCF"/>
    <w:rsid w:val="4D407DB2"/>
    <w:rsid w:val="4D43742F"/>
    <w:rsid w:val="4EFC5659"/>
    <w:rsid w:val="630F3E75"/>
    <w:rsid w:val="648B5A31"/>
    <w:rsid w:val="66D63F95"/>
    <w:rsid w:val="6D0E4B33"/>
    <w:rsid w:val="6EB91AB3"/>
    <w:rsid w:val="70180D2B"/>
    <w:rsid w:val="71DD03EC"/>
    <w:rsid w:val="74BD4856"/>
    <w:rsid w:val="753B53D8"/>
    <w:rsid w:val="7DA43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等线" w:hAnsi="等线" w:eastAsia="等线" w:cs="Times New Roman"/>
      <w:szCs w:val="22"/>
    </w:r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01"/>
    <w:basedOn w:val="7"/>
    <w:qFormat/>
    <w:uiPriority w:val="0"/>
    <w:rPr>
      <w:rFonts w:hint="eastAsia" w:ascii="宋体" w:hAnsi="宋体" w:eastAsia="宋体" w:cs="宋体"/>
      <w:b/>
      <w:color w:val="000000"/>
      <w:sz w:val="32"/>
      <w:szCs w:val="32"/>
      <w:u w:val="none"/>
    </w:rPr>
  </w:style>
  <w:style w:type="character" w:customStyle="1" w:styleId="9">
    <w:name w:val="font71"/>
    <w:basedOn w:val="7"/>
    <w:qFormat/>
    <w:uiPriority w:val="0"/>
    <w:rPr>
      <w:rFonts w:hint="eastAsia" w:ascii="宋体" w:hAnsi="宋体" w:eastAsia="宋体" w:cs="宋体"/>
      <w:color w:val="000000"/>
      <w:sz w:val="32"/>
      <w:szCs w:val="32"/>
      <w:u w:val="none"/>
    </w:rPr>
  </w:style>
  <w:style w:type="character" w:customStyle="1" w:styleId="10">
    <w:name w:val="font51"/>
    <w:basedOn w:val="7"/>
    <w:qFormat/>
    <w:uiPriority w:val="0"/>
    <w:rPr>
      <w:rFonts w:hint="eastAsia" w:ascii="宋体" w:hAnsi="宋体" w:eastAsia="宋体" w:cs="宋体"/>
      <w:color w:val="000000"/>
      <w:sz w:val="20"/>
      <w:szCs w:val="20"/>
      <w:u w:val="none"/>
    </w:rPr>
  </w:style>
  <w:style w:type="character" w:customStyle="1" w:styleId="11">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4037;&#20316;&#31807;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4037;&#20316;&#31807;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4037;&#20316;&#31807;1.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037;&#20316;&#31807;1.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4037;&#20316;&#31807;1.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4037;&#20316;&#31807;1.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4037;&#20316;&#31807;1.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4037;&#20316;&#31807;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单位人员情况</a:t>
            </a:r>
          </a:p>
        </c:rich>
      </c:tx>
      <c:layout/>
      <c:overlay val="0"/>
    </c:title>
    <c:autoTitleDeleted val="0"/>
    <c:plotArea>
      <c:layout/>
      <c:barChart>
        <c:barDir val="col"/>
        <c:grouping val="clustered"/>
        <c:varyColors val="0"/>
        <c:ser>
          <c:idx val="0"/>
          <c:order val="0"/>
          <c:invertIfNegative val="0"/>
          <c:dPt>
            <c:idx val="0"/>
            <c:invertIfNegative val="0"/>
            <c:bubble3D val="0"/>
            <c:explosion val="0"/>
            <c:spPr>
              <a:solidFill>
                <a:schemeClr val="accent1"/>
              </a:solidFill>
              <a:ln w="25400">
                <a:solidFill>
                  <a:schemeClr val="lt1"/>
                </a:solidFill>
              </a:ln>
              <a:effectLst/>
            </c:spPr>
          </c:dPt>
          <c:dPt>
            <c:idx val="1"/>
            <c:invertIfNegative val="0"/>
            <c:bubble3D val="0"/>
            <c:explosion val="0"/>
            <c:spPr>
              <a:solidFill>
                <a:schemeClr val="accent2"/>
              </a:solidFill>
              <a:ln w="25400">
                <a:solidFill>
                  <a:schemeClr val="lt1"/>
                </a:solidFill>
              </a:ln>
              <a:effectLst/>
            </c:spPr>
          </c:dPt>
          <c:dPt>
            <c:idx val="2"/>
            <c:invertIfNegative val="0"/>
            <c:bubble3D val="0"/>
            <c:explosion val="0"/>
            <c:spPr>
              <a:solidFill>
                <a:schemeClr val="accent3"/>
              </a:solidFill>
              <a:ln w="25400">
                <a:solidFill>
                  <a:schemeClr val="lt1"/>
                </a:solidFill>
              </a:ln>
              <a:effectLst/>
            </c:spPr>
          </c:dPt>
          <c:dLbls>
            <c:delete val="1"/>
          </c:dLbls>
          <c:cat>
            <c:strRef>
              <c:f>[工作簿1.xls]Sheet1!$A$2:$D$2</c:f>
              <c:strCache>
                <c:ptCount val="4"/>
                <c:pt idx="0">
                  <c:v>编制数</c:v>
                </c:pt>
                <c:pt idx="1">
                  <c:v>实有数</c:v>
                </c:pt>
                <c:pt idx="2">
                  <c:v>离退休</c:v>
                </c:pt>
              </c:strCache>
            </c:strRef>
          </c:cat>
          <c:val>
            <c:numRef>
              <c:f>[工作簿1.xls]Sheet1!$A$3:$D$3</c:f>
              <c:numCache>
                <c:formatCode>0_ </c:formatCode>
                <c:ptCount val="4"/>
                <c:pt idx="0">
                  <c:v>70</c:v>
                </c:pt>
                <c:pt idx="1">
                  <c:v>69</c:v>
                </c:pt>
                <c:pt idx="2">
                  <c:v>76</c:v>
                </c:pt>
                <c:pt idx="3" c:formatCode="0.00%">
                  <c:v>0</c:v>
                </c:pt>
              </c:numCache>
            </c:numRef>
          </c:val>
        </c:ser>
        <c:dLbls>
          <c:showLegendKey val="0"/>
          <c:showVal val="0"/>
          <c:showCatName val="0"/>
          <c:showSerName val="0"/>
          <c:showPercent val="0"/>
          <c:showBubbleSize val="0"/>
        </c:dLbls>
        <c:gapWidth val="150"/>
        <c:overlap val="0"/>
        <c:axId val="257829079"/>
        <c:axId val="874656638"/>
      </c:barChart>
      <c:catAx>
        <c:axId val="257829079"/>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4656638"/>
        <c:crosses val="autoZero"/>
        <c:auto val="1"/>
        <c:lblAlgn val="ctr"/>
        <c:lblOffset val="100"/>
        <c:noMultiLvlLbl val="0"/>
      </c:catAx>
      <c:valAx>
        <c:axId val="874656638"/>
        <c:scaling>
          <c:orientation val="minMax"/>
        </c:scaling>
        <c:delete val="0"/>
        <c:axPos val="l"/>
        <c:majorGridlines/>
        <c:numFmt formatCode="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78290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8225925379737"/>
          <c:y val="0.187663107947805"/>
          <c:w val="0.895885562601386"/>
          <c:h val="0.617081850533808"/>
        </c:manualLayout>
      </c:layout>
      <c:barChart>
        <c:barDir val="col"/>
        <c:grouping val="clustered"/>
        <c:varyColors val="0"/>
        <c:ser>
          <c:idx val="0"/>
          <c:order val="0"/>
          <c:invertIfNegative val="0"/>
          <c:dPt>
            <c:idx val="0"/>
            <c:invertIfNegative val="0"/>
            <c:bubble3D val="0"/>
            <c:explosion val="0"/>
            <c:spPr>
              <a:solidFill>
                <a:schemeClr val="accent1"/>
              </a:solidFill>
              <a:ln w="25400">
                <a:solidFill>
                  <a:schemeClr val="lt1"/>
                </a:solidFill>
              </a:ln>
              <a:effectLst/>
            </c:spPr>
          </c:dPt>
          <c:dPt>
            <c:idx val="1"/>
            <c:invertIfNegative val="0"/>
            <c:bubble3D val="0"/>
            <c:explosion val="0"/>
            <c:spPr>
              <a:solidFill>
                <a:schemeClr val="accent2"/>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[工作簿1.xls]Sheet1!$A$2:$B$2</c:f>
              <c:numCache>
                <c:formatCode>General</c:formatCode>
                <c:ptCount val="2"/>
                <c:pt idx="0">
                  <c:v>2019</c:v>
                </c:pt>
                <c:pt idx="1">
                  <c:v>2020</c:v>
                </c:pt>
              </c:numCache>
            </c:numRef>
          </c:cat>
          <c:val>
            <c:numRef>
              <c:f>[工作簿1.xls]Sheet1!$A$3:$B$3</c:f>
              <c:numCache>
                <c:formatCode>0.00_ </c:formatCode>
                <c:ptCount val="2"/>
                <c:pt idx="0">
                  <c:v>7162.3</c:v>
                </c:pt>
                <c:pt idx="1">
                  <c:v>2485.81</c:v>
                </c:pt>
              </c:numCache>
            </c:numRef>
          </c:val>
        </c:ser>
        <c:dLbls>
          <c:showLegendKey val="0"/>
          <c:showVal val="1"/>
          <c:showCatName val="0"/>
          <c:showSerName val="0"/>
          <c:showPercent val="0"/>
          <c:showBubbleSize val="0"/>
        </c:dLbls>
        <c:gapWidth val="150"/>
        <c:overlap val="0"/>
        <c:axId val="259790115"/>
        <c:axId val="765721998"/>
      </c:barChart>
      <c:catAx>
        <c:axId val="259790115"/>
        <c:scaling>
          <c:orientation val="minMax"/>
        </c:scaling>
        <c:delete val="0"/>
        <c:axPos val="b"/>
        <c:numFmt formatCode="0_);[Red]\(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5721998"/>
        <c:crosses val="autoZero"/>
        <c:auto val="1"/>
        <c:lblAlgn val="ctr"/>
        <c:lblOffset val="100"/>
        <c:noMultiLvlLbl val="0"/>
      </c:catAx>
      <c:valAx>
        <c:axId val="765721998"/>
        <c:scaling>
          <c:orientation val="minMax"/>
        </c:scaling>
        <c:delete val="0"/>
        <c:axPos val="l"/>
        <c:majorGridlines>
          <c:spPr>
            <a:ln w="3175" cap="flat" cmpd="sng" algn="ctr">
              <a:solidFill>
                <a:schemeClr val="tx1">
                  <a:tint val="75000"/>
                </a:schemeClr>
              </a:solidFill>
              <a:prstDash val="solid"/>
              <a:round/>
            </a:ln>
          </c:spPr>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790115"/>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alpha val="94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8225925379737"/>
          <c:y val="0.187663107947805"/>
          <c:w val="0.895885562601386"/>
          <c:h val="0.617081850533808"/>
        </c:manualLayout>
      </c:layout>
      <c:barChart>
        <c:barDir val="col"/>
        <c:grouping val="clustered"/>
        <c:varyColors val="0"/>
        <c:ser>
          <c:idx val="0"/>
          <c:order val="0"/>
          <c:invertIfNegative val="0"/>
          <c:dPt>
            <c:idx val="0"/>
            <c:invertIfNegative val="0"/>
            <c:bubble3D val="0"/>
            <c:explosion val="0"/>
            <c:spPr>
              <a:solidFill>
                <a:schemeClr val="accent1"/>
              </a:solidFill>
              <a:ln w="25400">
                <a:solidFill>
                  <a:schemeClr val="lt1"/>
                </a:solidFill>
              </a:ln>
              <a:effectLst/>
            </c:spPr>
          </c:dPt>
          <c:dPt>
            <c:idx val="1"/>
            <c:invertIfNegative val="0"/>
            <c:bubble3D val="0"/>
            <c:explosion val="0"/>
            <c:spPr>
              <a:solidFill>
                <a:schemeClr val="accent2"/>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[工作簿1.xls]Sheet1!$A$2:$B$2</c:f>
              <c:numCache>
                <c:formatCode>General</c:formatCode>
                <c:ptCount val="2"/>
                <c:pt idx="0">
                  <c:v>2019</c:v>
                </c:pt>
                <c:pt idx="1">
                  <c:v>2020</c:v>
                </c:pt>
              </c:numCache>
            </c:numRef>
          </c:cat>
          <c:val>
            <c:numRef>
              <c:f>[工作簿1.xls]Sheet1!$A$3:$B$3</c:f>
              <c:numCache>
                <c:formatCode>0.00_ </c:formatCode>
                <c:ptCount val="2"/>
                <c:pt idx="0">
                  <c:v>3761.44</c:v>
                </c:pt>
                <c:pt idx="1">
                  <c:v>2814.13</c:v>
                </c:pt>
              </c:numCache>
            </c:numRef>
          </c:val>
        </c:ser>
        <c:dLbls>
          <c:showLegendKey val="0"/>
          <c:showVal val="1"/>
          <c:showCatName val="0"/>
          <c:showSerName val="0"/>
          <c:showPercent val="0"/>
          <c:showBubbleSize val="0"/>
        </c:dLbls>
        <c:gapWidth val="150"/>
        <c:overlap val="0"/>
        <c:axId val="259790115"/>
        <c:axId val="765721998"/>
      </c:barChart>
      <c:catAx>
        <c:axId val="259790115"/>
        <c:scaling>
          <c:orientation val="minMax"/>
        </c:scaling>
        <c:delete val="0"/>
        <c:axPos val="b"/>
        <c:numFmt formatCode="0_);[Red]\(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5721998"/>
        <c:crosses val="autoZero"/>
        <c:auto val="1"/>
        <c:lblAlgn val="ctr"/>
        <c:lblOffset val="100"/>
        <c:noMultiLvlLbl val="0"/>
      </c:catAx>
      <c:valAx>
        <c:axId val="765721998"/>
        <c:scaling>
          <c:orientation val="minMax"/>
        </c:scaling>
        <c:delete val="0"/>
        <c:axPos val="l"/>
        <c:majorGridlines>
          <c:spPr>
            <a:ln w="317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round/>
            </a:ln>
          </c:spPr>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790115"/>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alpha val="94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年单位</a:t>
            </a:r>
            <a:r>
              <a:t>收入决算情况</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[工作簿1.xls]Sheet1!$A$2:$D$2</c:f>
              <c:strCache>
                <c:ptCount val="4"/>
                <c:pt idx="0">
                  <c:v>财政拨款收入</c:v>
                </c:pt>
                <c:pt idx="1">
                  <c:v>事业收入</c:v>
                </c:pt>
                <c:pt idx="2">
                  <c:v>上级补助收入</c:v>
                </c:pt>
                <c:pt idx="3">
                  <c:v>其他收入</c:v>
                </c:pt>
              </c:strCache>
            </c:strRef>
          </c:cat>
          <c:val>
            <c:numRef>
              <c:f>[工作簿1.xls]Sheet1!$A$3:$D$3</c:f>
              <c:numCache>
                <c:formatCode>0.00%</c:formatCode>
                <c:ptCount val="4"/>
                <c:pt idx="0">
                  <c:v>0.1128</c:v>
                </c:pt>
                <c:pt idx="1">
                  <c:v>0.4794</c:v>
                </c:pt>
                <c:pt idx="2">
                  <c:v>0.3649</c:v>
                </c:pt>
                <c:pt idx="3">
                  <c:v>0.0429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[工作簿1.xls]Sheet1!$A$2:$B$2</c:f>
              <c:strCache>
                <c:ptCount val="2"/>
                <c:pt idx="0">
                  <c:v>基本支出</c:v>
                </c:pt>
                <c:pt idx="1">
                  <c:v>项目支出</c:v>
                </c:pt>
              </c:strCache>
            </c:strRef>
          </c:cat>
          <c:val>
            <c:numRef>
              <c:f>[工作簿1.xls]Sheet1!$A$3:$B$3</c:f>
              <c:numCache>
                <c:formatCode>0.00%</c:formatCode>
                <c:ptCount val="2"/>
                <c:pt idx="0">
                  <c:v>0.8514</c:v>
                </c:pt>
                <c:pt idx="1">
                  <c:v>0.1486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w="19050">
              <a:solidFill>
                <a:schemeClr val="lt1"/>
              </a:solidFill>
            </a:ln>
            <a:effectLst/>
          </c:spPr>
          <c:invertIfNegative val="0"/>
          <c:dLbls>
            <c:dLbl>
              <c:idx val="0"/>
              <c:layout>
                <c:manualLayout>
                  <c:x val="0"/>
                  <c:y val="-0.26242710358233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3623993335184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[工作簿1.xls]Sheet1!$A$1:$B$1</c:f>
              <c:numCache>
                <c:formatCode>General</c:formatCode>
                <c:ptCount val="2"/>
                <c:pt idx="0">
                  <c:v>2019</c:v>
                </c:pt>
                <c:pt idx="1">
                  <c:v>2020</c:v>
                </c:pt>
              </c:numCache>
            </c:numRef>
          </c:cat>
          <c:val>
            <c:numRef>
              <c:f>[工作簿1.xls]Sheet1!$A$2:$B$2</c:f>
              <c:numCache>
                <c:formatCode>0.00_ </c:formatCode>
                <c:ptCount val="2"/>
                <c:pt idx="0">
                  <c:v>216.1</c:v>
                </c:pt>
                <c:pt idx="1">
                  <c:v>280.31</c:v>
                </c:pt>
              </c:numCache>
            </c:numRef>
          </c:val>
        </c:ser>
        <c:dLbls>
          <c:showLegendKey val="0"/>
          <c:showVal val="1"/>
          <c:showCatName val="0"/>
          <c:showSerName val="0"/>
          <c:showPercent val="0"/>
          <c:showBubbleSize val="0"/>
        </c:dLbls>
        <c:gapWidth val="150"/>
        <c:overlap val="100"/>
        <c:axId val="399573037"/>
        <c:axId val="101823945"/>
      </c:barChart>
      <c:catAx>
        <c:axId val="39957303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823945"/>
        <c:crosses val="autoZero"/>
        <c:auto val="1"/>
        <c:lblAlgn val="ctr"/>
        <c:lblOffset val="100"/>
        <c:noMultiLvlLbl val="0"/>
      </c:catAx>
      <c:valAx>
        <c:axId val="101823945"/>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5730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w="19050">
              <a:solidFill>
                <a:schemeClr val="lt1"/>
              </a:solidFill>
            </a:ln>
            <a:effectLst/>
          </c:spPr>
          <c:invertIfNegative val="0"/>
          <c:dLbls>
            <c:dLbl>
              <c:idx val="0"/>
              <c:layout>
                <c:manualLayout>
                  <c:x val="0"/>
                  <c:y val="-0.26242710358233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3623993335184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[工作簿1.xls]Sheet1!$A$1:$B$1</c:f>
              <c:numCache>
                <c:formatCode>General</c:formatCode>
                <c:ptCount val="2"/>
                <c:pt idx="0">
                  <c:v>2019</c:v>
                </c:pt>
                <c:pt idx="1">
                  <c:v>2020</c:v>
                </c:pt>
              </c:numCache>
            </c:numRef>
          </c:cat>
          <c:val>
            <c:numRef>
              <c:f>[工作簿1.xls]Sheet1!$A$2:$B$2</c:f>
              <c:numCache>
                <c:formatCode>0.00_ </c:formatCode>
                <c:ptCount val="2"/>
                <c:pt idx="0">
                  <c:v>216.1</c:v>
                </c:pt>
                <c:pt idx="1">
                  <c:v>280.31</c:v>
                </c:pt>
              </c:numCache>
            </c:numRef>
          </c:val>
        </c:ser>
        <c:dLbls>
          <c:showLegendKey val="0"/>
          <c:showVal val="1"/>
          <c:showCatName val="0"/>
          <c:showSerName val="0"/>
          <c:showPercent val="0"/>
          <c:showBubbleSize val="0"/>
        </c:dLbls>
        <c:gapWidth val="150"/>
        <c:overlap val="100"/>
        <c:axId val="399573037"/>
        <c:axId val="101823945"/>
      </c:barChart>
      <c:catAx>
        <c:axId val="39957303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823945"/>
        <c:crosses val="autoZero"/>
        <c:auto val="1"/>
        <c:lblAlgn val="ctr"/>
        <c:lblOffset val="100"/>
        <c:noMultiLvlLbl val="0"/>
      </c:catAx>
      <c:valAx>
        <c:axId val="101823945"/>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5730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dLbl>
              <c:idx val="0"/>
              <c:layout>
                <c:manualLayout>
                  <c:x val="0"/>
                  <c:y val="-0.26242710358233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3623993335184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[工作簿1.xls]Sheet1!$A$2:$C$2</c:f>
              <c:strCache>
                <c:ptCount val="3"/>
                <c:pt idx="0">
                  <c:v>教育支出</c:v>
                </c:pt>
                <c:pt idx="1">
                  <c:v>社会保障和就业支出</c:v>
                </c:pt>
                <c:pt idx="2">
                  <c:v>卫生健康支出</c:v>
                </c:pt>
              </c:strCache>
            </c:strRef>
          </c:cat>
          <c:val>
            <c:numRef>
              <c:f>[工作簿1.xls]Sheet1!$A$3:$C$3</c:f>
              <c:numCache>
                <c:formatCode>0.00%</c:formatCode>
                <c:ptCount val="3"/>
                <c:pt idx="0">
                  <c:v>0.5487</c:v>
                </c:pt>
                <c:pt idx="1">
                  <c:v>0.417</c:v>
                </c:pt>
                <c:pt idx="2">
                  <c:v>0.0343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2021-08-23T07:10:00Z</dcterms:created>
  <dc:creator>Administrator</dc:creator>
  <cp:lastModifiedBy>lenovo</cp:lastModifiedBy>
  <cp:lastPrinted>2021-08-25T07:03:00Z</cp:lastPrinted>
  <dcterms:modified xsi:type="dcterms:W3CDTF">2021-09-03T06:32:18Z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F4CE332CB6A646E78CF69302DEC874A1</vt:lpwstr>
  </property>
</Properties>
</file>