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rPr>
        <w:t>陕西省</w:t>
      </w:r>
      <w:r>
        <w:rPr>
          <w:rFonts w:hint="eastAsia" w:ascii="方正小标宋简体" w:hAnsi="方正小标宋简体" w:eastAsia="方正小标宋简体" w:cs="方正小标宋简体"/>
          <w:b w:val="0"/>
          <w:bCs w:val="0"/>
          <w:sz w:val="48"/>
          <w:szCs w:val="48"/>
          <w:lang w:eastAsia="zh-CN"/>
        </w:rPr>
        <w:t>教科文卫体</w:t>
      </w:r>
      <w:r>
        <w:rPr>
          <w:rFonts w:hint="eastAsia" w:ascii="方正小标宋简体" w:hAnsi="方正小标宋简体" w:eastAsia="方正小标宋简体" w:cs="方正小标宋简体"/>
          <w:b w:val="0"/>
          <w:bCs w:val="0"/>
          <w:sz w:val="48"/>
          <w:szCs w:val="48"/>
          <w:lang w:val="en-US" w:eastAsia="zh-CN"/>
        </w:rPr>
        <w:t>工会委员会</w:t>
      </w: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rPr>
        <w:t>20</w:t>
      </w:r>
      <w:r>
        <w:rPr>
          <w:rFonts w:hint="eastAsia" w:ascii="方正小标宋简体" w:hAnsi="方正小标宋简体" w:eastAsia="方正小标宋简体" w:cs="方正小标宋简体"/>
          <w:b w:val="0"/>
          <w:bCs w:val="0"/>
          <w:sz w:val="48"/>
          <w:szCs w:val="48"/>
          <w:lang w:val="en-US" w:eastAsia="zh-CN"/>
        </w:rPr>
        <w:t>20</w:t>
      </w:r>
      <w:r>
        <w:rPr>
          <w:rFonts w:hint="eastAsia" w:ascii="方正小标宋简体" w:hAnsi="方正小标宋简体" w:eastAsia="方正小标宋简体" w:cs="方正小标宋简体"/>
          <w:b w:val="0"/>
          <w:bCs w:val="0"/>
          <w:sz w:val="48"/>
          <w:szCs w:val="48"/>
        </w:rPr>
        <w:t>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hint="eastAsia"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hint="eastAsia" w:asciiTheme="majorEastAsia" w:hAnsiTheme="majorEastAsia" w:eastAsiaTheme="majorEastAsia" w:cstheme="majorEastAsia"/>
          <w:b/>
          <w:bCs/>
          <w:sz w:val="32"/>
          <w:szCs w:val="32"/>
        </w:rPr>
      </w:pPr>
    </w:p>
    <w:p>
      <w:pPr>
        <w:spacing w:line="400" w:lineRule="exact"/>
        <w:ind w:firstLine="2088" w:firstLineChars="65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rPr>
        <w:t>保密审查情况：</w:t>
      </w:r>
      <w:r>
        <w:rPr>
          <w:rFonts w:hint="eastAsia" w:asciiTheme="majorEastAsia" w:hAnsiTheme="majorEastAsia" w:eastAsiaTheme="majorEastAsia" w:cstheme="majorEastAsia"/>
          <w:b/>
          <w:bCs/>
          <w:sz w:val="32"/>
          <w:szCs w:val="32"/>
          <w:lang w:val="en-US" w:eastAsia="zh-CN"/>
        </w:rPr>
        <w:t>已审查</w:t>
      </w:r>
    </w:p>
    <w:p>
      <w:pPr>
        <w:spacing w:line="400" w:lineRule="exact"/>
        <w:jc w:val="center"/>
        <w:rPr>
          <w:rFonts w:ascii="宋体" w:hAnsi="宋体" w:cs="宋体"/>
          <w:b/>
          <w:bCs/>
          <w:sz w:val="32"/>
          <w:szCs w:val="32"/>
        </w:rPr>
      </w:pPr>
    </w:p>
    <w:p>
      <w:pPr>
        <w:spacing w:line="400" w:lineRule="exact"/>
        <w:ind w:firstLine="2088" w:firstLineChars="650"/>
        <w:rPr>
          <w:rFonts w:ascii="宋体" w:hAnsi="宋体" w:cs="宋体"/>
          <w:b/>
          <w:bCs/>
          <w:sz w:val="32"/>
          <w:szCs w:val="32"/>
        </w:rPr>
      </w:pPr>
      <w:r>
        <w:rPr>
          <w:rFonts w:hint="eastAsia" w:ascii="宋体" w:hAnsi="宋体" w:cs="宋体"/>
          <w:b/>
          <w:bCs/>
          <w:sz w:val="32"/>
          <w:szCs w:val="32"/>
        </w:rPr>
        <w:t>部门主要负责人审签情况：</w:t>
      </w:r>
      <w:r>
        <w:rPr>
          <w:rFonts w:hint="eastAsia" w:ascii="宋体" w:hAnsi="宋体" w:cs="宋体"/>
          <w:b/>
          <w:bCs/>
          <w:sz w:val="32"/>
          <w:szCs w:val="32"/>
          <w:lang w:val="en-US" w:eastAsia="zh-CN"/>
        </w:rPr>
        <w:t>已审签</w:t>
      </w: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hint="eastAsia"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第一部分  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第二部分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hint="eastAsia" w:ascii="仿宋" w:hAnsi="仿宋" w:eastAsia="仿宋" w:cs="楷体"/>
          <w:color w:val="000000"/>
          <w:kern w:val="0"/>
          <w:sz w:val="32"/>
          <w:szCs w:val="32"/>
          <w:lang w:eastAsia="zh-CN" w:bidi="ar"/>
        </w:rPr>
      </w:pPr>
      <w:r>
        <w:rPr>
          <w:rFonts w:hint="eastAsia" w:ascii="仿宋" w:hAnsi="仿宋" w:eastAsia="仿宋" w:cs="楷体"/>
          <w:color w:val="000000"/>
          <w:kern w:val="0"/>
          <w:sz w:val="32"/>
          <w:szCs w:val="32"/>
          <w:lang w:eastAsia="zh-CN" w:bidi="ar"/>
        </w:rPr>
        <w:t>九、国有资本经营预算财政拨款支出决算表</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第三部分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二、收入决算情况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lang w:bidi="ar"/>
        </w:rPr>
        <w:t>四、财政拨款收入支出决算总体情况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五、一般公共预算财政拨款支出决算情况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六、一般公共预算财政拨款基本支出决算情况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七、一般公共预算财政拨款“三公”经费及会议费、培训费支出决算情况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九、国有资本经营财政拨款收</w:t>
      </w:r>
      <w:r>
        <w:rPr>
          <w:rFonts w:hint="eastAsia" w:ascii="仿宋" w:hAnsi="仿宋" w:eastAsia="仿宋" w:cs="楷体"/>
          <w:color w:val="000000"/>
          <w:kern w:val="0"/>
          <w:sz w:val="32"/>
          <w:szCs w:val="32"/>
          <w:lang w:eastAsia="zh-CN" w:bidi="ar"/>
        </w:rPr>
        <w:t>入</w:t>
      </w:r>
      <w:r>
        <w:rPr>
          <w:rFonts w:hint="eastAsia" w:ascii="仿宋" w:hAnsi="仿宋" w:eastAsia="仿宋" w:cs="楷体"/>
          <w:color w:val="000000"/>
          <w:kern w:val="0"/>
          <w:sz w:val="32"/>
          <w:szCs w:val="32"/>
          <w:lang w:bidi="ar"/>
        </w:rPr>
        <w:t>支</w:t>
      </w:r>
      <w:r>
        <w:rPr>
          <w:rFonts w:hint="eastAsia" w:ascii="仿宋" w:hAnsi="仿宋" w:eastAsia="仿宋" w:cs="楷体"/>
          <w:color w:val="000000"/>
          <w:kern w:val="0"/>
          <w:sz w:val="32"/>
          <w:szCs w:val="32"/>
          <w:lang w:eastAsia="zh-CN" w:bidi="ar"/>
        </w:rPr>
        <w:t>出</w:t>
      </w:r>
      <w:r>
        <w:rPr>
          <w:rFonts w:hint="eastAsia" w:ascii="仿宋" w:hAnsi="仿宋" w:eastAsia="仿宋" w:cs="楷体"/>
          <w:color w:val="000000"/>
          <w:kern w:val="0"/>
          <w:sz w:val="32"/>
          <w:szCs w:val="32"/>
          <w:lang w:bidi="ar"/>
        </w:rPr>
        <w:t>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十、机关运行经费支出情况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十一、</w:t>
      </w:r>
      <w:r>
        <w:rPr>
          <w:rFonts w:hint="eastAsia" w:ascii="仿宋" w:hAnsi="仿宋" w:eastAsia="仿宋" w:cs="楷体"/>
          <w:color w:val="000000"/>
          <w:kern w:val="0"/>
          <w:sz w:val="32"/>
          <w:szCs w:val="32"/>
          <w:lang w:bidi="ar"/>
        </w:rPr>
        <w:t>政府采购支出情况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十二、</w:t>
      </w:r>
      <w:r>
        <w:rPr>
          <w:rFonts w:hint="eastAsia" w:ascii="仿宋" w:hAnsi="仿宋" w:eastAsia="仿宋" w:cs="楷体"/>
          <w:color w:val="000000"/>
          <w:kern w:val="0"/>
          <w:sz w:val="32"/>
          <w:szCs w:val="32"/>
          <w:lang w:bidi="ar"/>
        </w:rPr>
        <w:t>国有资产占用及购置情况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十三、</w:t>
      </w:r>
      <w:r>
        <w:rPr>
          <w:rFonts w:hint="eastAsia" w:ascii="仿宋" w:hAnsi="仿宋" w:eastAsia="仿宋" w:cs="楷体"/>
          <w:color w:val="000000"/>
          <w:kern w:val="0"/>
          <w:sz w:val="32"/>
          <w:szCs w:val="32"/>
          <w:lang w:bidi="ar"/>
        </w:rPr>
        <w:t>预算绩效情况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第一部分 部门概况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（一）主要职责</w:t>
      </w:r>
      <w:r>
        <w:rPr>
          <w:rFonts w:hint="eastAsia" w:ascii="楷体" w:hAnsi="楷体" w:eastAsia="楷体" w:cs="楷体"/>
          <w:b/>
          <w:bCs/>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陕西省教科文卫体工会是受陕西省总工会领导的省级产业工会。其主要职责是：</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（1）在省总工会领导下，指导本产业所属基层工会依照工会章程独立自主开展具有产业特色的工会工作。</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（2）组织动员本产业职工开展劳动和技能竞赛、技术创新和评先树模、宣传教育活动，建设有理想守信念、懂技术会创新、敢担当讲奉献的产业工人队伍。</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（3）围绕涉及产业职工切身利益的重大问题开展调查研究，参与相关法律法规和行业政策制定，建立与政府有关部门或行业协会的联席（联系）会议制度，推动构建和谐劳动关系，维护产业职工队伍稳定。</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（4）指导企事业单位建立健全以职代会为基本形式的厂务公开民主管理制度和平等协商集体合同制度，做好职业安全卫生监督检查、职工帮扶救助等工作，维护产业职工合法权益。</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（5）加强自身建设，建立健全本产业工会工作制度，做好工会干部培训等基础工作，完成全国产业工会和省总工会交办的其他工作任务。</w:t>
      </w: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（二）内设机构</w:t>
      </w:r>
      <w:r>
        <w:rPr>
          <w:rFonts w:hint="eastAsia" w:ascii="楷体" w:hAnsi="楷体" w:eastAsia="楷体" w:cs="楷体"/>
          <w:b/>
          <w:bCs/>
          <w:color w:val="000000"/>
          <w:kern w:val="0"/>
          <w:sz w:val="32"/>
          <w:szCs w:val="32"/>
          <w:lang w:eastAsia="zh-CN" w:bidi="ar"/>
        </w:rPr>
        <w:t>。</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321" w:firstLineChars="1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color w:val="000000"/>
          <w:kern w:val="0"/>
          <w:sz w:val="32"/>
          <w:szCs w:val="32"/>
          <w:lang w:val="en-US" w:eastAsia="zh-CN" w:bidi="ar"/>
        </w:rPr>
        <w:t xml:space="preserve"> </w:t>
      </w:r>
      <w:r>
        <w:rPr>
          <w:rFonts w:hint="eastAsia" w:ascii="仿宋_GB2312" w:hAnsi="仿宋_GB2312" w:eastAsia="仿宋_GB2312" w:cs="仿宋_GB2312"/>
          <w:b w:val="0"/>
          <w:bCs w:val="0"/>
          <w:kern w:val="2"/>
          <w:sz w:val="32"/>
          <w:szCs w:val="32"/>
          <w:lang w:val="en-US" w:eastAsia="zh-CN" w:bidi="ar-SA"/>
        </w:rPr>
        <w:t xml:space="preserve"> 机构设置：</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320" w:firstLineChars="1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1.陕西省教科文卫体工会经费审查委员会</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320" w:firstLineChars="1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2.陕西省教科文卫体工会女职工委员会</w:t>
      </w:r>
    </w:p>
    <w:p>
      <w:pPr>
        <w:widowControl/>
        <w:numPr>
          <w:ilvl w:val="0"/>
          <w:numId w:val="1"/>
        </w:numPr>
        <w:ind w:firstLine="640" w:firstLineChars="200"/>
        <w:jc w:val="left"/>
        <w:rPr>
          <w:rFonts w:hint="eastAsia" w:ascii="黑体" w:hAnsi="宋体" w:eastAsia="黑体"/>
          <w:color w:val="000000"/>
          <w:kern w:val="0"/>
          <w:sz w:val="32"/>
          <w:szCs w:val="32"/>
          <w:lang w:bidi="ar"/>
        </w:rPr>
      </w:pP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年本部门决算编制范围的单位共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序号</w:t>
            </w:r>
          </w:p>
        </w:tc>
        <w:tc>
          <w:tcPr>
            <w:tcW w:w="6923" w:type="dxa"/>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p>
        </w:tc>
        <w:tc>
          <w:tcPr>
            <w:tcW w:w="6923" w:type="dxa"/>
            <w:vAlign w:val="top"/>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sz w:val="32"/>
                <w:szCs w:val="32"/>
                <w:highlight w:val="none"/>
                <w:lang w:val="en-US" w:eastAsia="zh-CN"/>
              </w:rPr>
              <w:t>陕西</w:t>
            </w:r>
            <w:r>
              <w:rPr>
                <w:rFonts w:hint="eastAsia" w:ascii="仿宋_GB2312" w:hAnsi="仿宋_GB2312" w:eastAsia="仿宋_GB2312" w:cs="仿宋_GB2312"/>
                <w:b w:val="0"/>
                <w:bCs w:val="0"/>
                <w:sz w:val="32"/>
                <w:szCs w:val="32"/>
                <w:highlight w:val="none"/>
              </w:rPr>
              <w:t>省</w:t>
            </w:r>
            <w:r>
              <w:rPr>
                <w:rFonts w:hint="eastAsia" w:ascii="仿宋_GB2312" w:hAnsi="仿宋_GB2312" w:eastAsia="仿宋_GB2312" w:cs="仿宋_GB2312"/>
                <w:b w:val="0"/>
                <w:bCs w:val="0"/>
                <w:sz w:val="32"/>
                <w:szCs w:val="32"/>
                <w:highlight w:val="none"/>
                <w:lang w:eastAsia="zh-CN"/>
              </w:rPr>
              <w:t>教科文卫体工会委员会</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年底，本部门人员编制</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人，其中事业编制</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人；实有人员</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人，其中事业</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人。</w:t>
      </w:r>
    </w:p>
    <w:p>
      <w:pPr>
        <w:pStyle w:val="2"/>
        <w:jc w:val="center"/>
        <w:rPr>
          <w:rFonts w:hint="eastAsia"/>
        </w:rPr>
      </w:pPr>
      <w:r>
        <w:drawing>
          <wp:inline distT="0" distB="0" distL="114300" distR="114300">
            <wp:extent cx="4896485" cy="2232660"/>
            <wp:effectExtent l="4445" t="4445" r="13970" b="1079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both"/>
        <w:rPr>
          <w:rFonts w:hint="eastAsia" w:ascii="方正小标宋简体" w:hAnsi="方正小标宋简体" w:eastAsia="方正小标宋简体" w:cs="方正小标宋简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 xml:space="preserve">第二部分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年度部门决算表</w:t>
      </w:r>
    </w:p>
    <w:tbl>
      <w:tblPr>
        <w:tblStyle w:val="11"/>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Layout w:type="fixed"/>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eastAsia="zh-CN" w:bidi="ar"/>
              </w:rPr>
              <w:t>表格为空的</w:t>
            </w:r>
            <w:r>
              <w:rPr>
                <w:rFonts w:hint="eastAsia" w:ascii="黑体" w:hAnsi="宋体" w:eastAsia="黑体"/>
                <w:color w:val="000000"/>
                <w:kern w:val="0"/>
                <w:sz w:val="24"/>
                <w:lang w:bidi="ar"/>
              </w:rPr>
              <w:t>理由</w:t>
            </w:r>
          </w:p>
        </w:tc>
      </w:tr>
      <w:tr>
        <w:tblPrEx>
          <w:tblLayout w:type="fixed"/>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未涉及</w:t>
            </w:r>
          </w:p>
        </w:tc>
      </w:tr>
      <w:tr>
        <w:tblPrEx>
          <w:tblLayout w:type="fixed"/>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未涉及</w:t>
            </w:r>
          </w:p>
        </w:tc>
      </w:tr>
      <w:tr>
        <w:tblPrEx>
          <w:tblLayout w:type="fixed"/>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eastAsia="zh-CN" w:bidi="ar"/>
              </w:rPr>
              <w:t>表</w:t>
            </w:r>
            <w:r>
              <w:rPr>
                <w:rFonts w:hint="eastAsia" w:ascii="宋体" w:hAnsi="宋体" w:cs="宋体"/>
                <w:color w:val="000000"/>
                <w:kern w:val="0"/>
                <w:sz w:val="24"/>
                <w:lang w:val="en-US" w:eastAsia="zh-CN" w:bidi="ar"/>
              </w:rPr>
              <w:t>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eastAsia="zh-CN" w:bidi="ar"/>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未涉及</w:t>
            </w:r>
          </w:p>
        </w:tc>
      </w:tr>
    </w:tbl>
    <w:p>
      <w:pPr>
        <w:jc w:val="center"/>
        <w:rPr>
          <w:rFonts w:ascii="黑体" w:hAnsi="宋体" w:eastAsia="黑体"/>
          <w:color w:val="000000"/>
          <w:kern w:val="0"/>
          <w:sz w:val="44"/>
          <w:szCs w:val="44"/>
          <w:lang w:bidi="ar"/>
        </w:rPr>
      </w:pPr>
    </w:p>
    <w:p>
      <w:pPr>
        <w:widowControl/>
        <w:rPr>
          <w:rFonts w:ascii="黑体" w:hAnsi="宋体" w:eastAsia="黑体"/>
          <w:color w:val="000000"/>
          <w:kern w:val="0"/>
          <w:sz w:val="44"/>
          <w:szCs w:val="44"/>
          <w:lang w:bidi="ar"/>
        </w:rPr>
      </w:pPr>
    </w:p>
    <w:p>
      <w:pPr>
        <w:jc w:val="center"/>
        <w:rPr>
          <w:rFonts w:ascii="宋体" w:hAnsi="宋体" w:cs="宋体"/>
          <w:b/>
          <w:bCs/>
          <w:sz w:val="32"/>
          <w:szCs w:val="32"/>
        </w:rPr>
      </w:pPr>
      <w:r>
        <w:rPr>
          <w:rFonts w:hint="eastAsia" w:ascii="宋体" w:hAnsi="宋体" w:cs="宋体"/>
          <w:b/>
          <w:color w:val="000000"/>
          <w:kern w:val="0"/>
          <w:sz w:val="40"/>
          <w:szCs w:val="40"/>
          <w:lang w:bidi="ar"/>
        </w:rPr>
        <w:br w:type="page"/>
      </w: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陕西省教科文卫体工会委员会</w:t>
      </w:r>
      <w:r>
        <w:rPr>
          <w:rFonts w:hint="eastAsia" w:ascii="宋体" w:hAnsi="宋体" w:cs="宋体"/>
          <w:b/>
          <w:bCs/>
          <w:szCs w:val="21"/>
        </w:rPr>
        <w:t xml:space="preserve">                                  金额单位：万元</w:t>
      </w:r>
    </w:p>
    <w:tbl>
      <w:tblPr>
        <w:tblStyle w:val="11"/>
        <w:tblW w:w="8884" w:type="dxa"/>
        <w:tblInd w:w="0" w:type="dxa"/>
        <w:tblLayout w:type="fixed"/>
        <w:tblCellMar>
          <w:top w:w="15" w:type="dxa"/>
          <w:left w:w="15" w:type="dxa"/>
          <w:bottom w:w="15" w:type="dxa"/>
          <w:right w:w="15" w:type="dxa"/>
        </w:tblCellMar>
      </w:tblPr>
      <w:tblGrid>
        <w:gridCol w:w="3388"/>
        <w:gridCol w:w="1080"/>
        <w:gridCol w:w="3090"/>
        <w:gridCol w:w="1326"/>
      </w:tblGrid>
      <w:tr>
        <w:tblPrEx>
          <w:tblLayout w:type="fixed"/>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Layout w:type="fixed"/>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left"/>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0"/>
                <w:szCs w:val="21"/>
                <w:lang w:val="en-US" w:eastAsia="zh-CN"/>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75.62</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w:t>
            </w:r>
            <w:r>
              <w:rPr>
                <w:rFonts w:hint="eastAsia" w:ascii="宋体" w:hAnsi="宋体" w:cs="宋体"/>
                <w:color w:val="000000"/>
                <w:kern w:val="0"/>
                <w:szCs w:val="21"/>
              </w:rPr>
              <w:t>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r>
      <w:tr>
        <w:tblPrEx>
          <w:tblLayout w:type="fixed"/>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2.</w:t>
            </w:r>
            <w:r>
              <w:rPr>
                <w:rFonts w:hint="eastAsia" w:ascii="宋体" w:hAnsi="宋体" w:cs="宋体"/>
                <w:color w:val="000000"/>
                <w:kern w:val="0"/>
                <w:szCs w:val="21"/>
              </w:rPr>
              <w:t>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3.</w:t>
            </w:r>
            <w:r>
              <w:rPr>
                <w:rFonts w:hint="eastAsia" w:ascii="宋体" w:hAnsi="宋体" w:cs="宋体"/>
                <w:color w:val="000000"/>
                <w:kern w:val="0"/>
                <w:szCs w:val="21"/>
              </w:rPr>
              <w:t>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4.</w:t>
            </w:r>
            <w:r>
              <w:rPr>
                <w:rFonts w:hint="eastAsia" w:ascii="宋体" w:hAnsi="宋体" w:cs="宋体"/>
                <w:color w:val="000000"/>
                <w:kern w:val="0"/>
                <w:szCs w:val="21"/>
              </w:rPr>
              <w:t>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5.</w:t>
            </w:r>
            <w:r>
              <w:rPr>
                <w:rFonts w:hint="eastAsia" w:ascii="宋体" w:hAnsi="宋体" w:cs="宋体"/>
                <w:color w:val="000000"/>
                <w:kern w:val="0"/>
                <w:szCs w:val="21"/>
              </w:rPr>
              <w:t>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6.经营收入</w:t>
            </w:r>
          </w:p>
        </w:tc>
        <w:tc>
          <w:tcPr>
            <w:tcW w:w="1080"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6.</w:t>
            </w:r>
            <w:r>
              <w:rPr>
                <w:rFonts w:hint="eastAsia" w:ascii="宋体" w:hAnsi="宋体" w:cs="宋体"/>
                <w:color w:val="000000"/>
                <w:kern w:val="0"/>
                <w:szCs w:val="21"/>
              </w:rPr>
              <w:t>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7.附属单位上缴收入</w:t>
            </w:r>
          </w:p>
        </w:tc>
        <w:tc>
          <w:tcPr>
            <w:tcW w:w="1080"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7.</w:t>
            </w:r>
            <w:r>
              <w:rPr>
                <w:rFonts w:hint="eastAsia" w:ascii="宋体" w:hAnsi="宋体" w:cs="宋体"/>
                <w:color w:val="000000"/>
                <w:kern w:val="0"/>
                <w:szCs w:val="21"/>
              </w:rPr>
              <w:t>文化</w:t>
            </w:r>
            <w:r>
              <w:rPr>
                <w:rFonts w:hint="eastAsia" w:ascii="宋体" w:hAnsi="宋体" w:cs="宋体"/>
                <w:color w:val="000000"/>
                <w:kern w:val="0"/>
                <w:szCs w:val="21"/>
                <w:lang w:eastAsia="zh-CN"/>
              </w:rPr>
              <w:t>旅游</w:t>
            </w:r>
            <w:r>
              <w:rPr>
                <w:rFonts w:hint="eastAsia" w:ascii="宋体" w:hAnsi="宋体" w:cs="宋体"/>
                <w:color w:val="000000"/>
                <w:kern w:val="0"/>
                <w:szCs w:val="21"/>
              </w:rPr>
              <w:t>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8.其他收入</w:t>
            </w:r>
          </w:p>
        </w:tc>
        <w:tc>
          <w:tcPr>
            <w:tcW w:w="1080"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8.</w:t>
            </w:r>
            <w:r>
              <w:rPr>
                <w:rFonts w:hint="eastAsia" w:ascii="宋体" w:hAnsi="宋体" w:cs="宋体"/>
                <w:color w:val="000000"/>
                <w:kern w:val="0"/>
                <w:szCs w:val="21"/>
              </w:rPr>
              <w:t>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 xml:space="preserve"> 9.</w:t>
            </w:r>
            <w:r>
              <w:rPr>
                <w:rFonts w:hint="eastAsia" w:ascii="宋体" w:hAnsi="宋体" w:cs="宋体"/>
                <w:color w:val="000000"/>
                <w:kern w:val="0"/>
                <w:szCs w:val="21"/>
                <w:lang w:eastAsia="zh-CN"/>
              </w:rPr>
              <w:t>卫生健康</w:t>
            </w:r>
            <w:r>
              <w:rPr>
                <w:rFonts w:hint="eastAsia" w:ascii="宋体" w:hAnsi="宋体" w:cs="宋体"/>
                <w:color w:val="000000"/>
                <w:kern w:val="0"/>
                <w:szCs w:val="21"/>
              </w:rPr>
              <w:t>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10.</w:t>
            </w:r>
            <w:r>
              <w:rPr>
                <w:rFonts w:hint="eastAsia" w:ascii="宋体" w:hAnsi="宋体" w:cs="宋体"/>
                <w:color w:val="000000"/>
                <w:kern w:val="0"/>
                <w:szCs w:val="21"/>
              </w:rPr>
              <w:t>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1.</w:t>
            </w:r>
            <w:r>
              <w:rPr>
                <w:rFonts w:hint="eastAsia" w:ascii="宋体" w:hAnsi="宋体" w:cs="宋体"/>
                <w:color w:val="000000"/>
                <w:kern w:val="0"/>
                <w:szCs w:val="21"/>
              </w:rPr>
              <w:t>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2.</w:t>
            </w:r>
            <w:r>
              <w:rPr>
                <w:rFonts w:hint="eastAsia" w:ascii="宋体" w:hAnsi="宋体" w:cs="宋体"/>
                <w:color w:val="000000"/>
                <w:kern w:val="0"/>
                <w:szCs w:val="21"/>
              </w:rPr>
              <w:t>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3.</w:t>
            </w:r>
            <w:r>
              <w:rPr>
                <w:rFonts w:hint="eastAsia" w:ascii="宋体" w:hAnsi="宋体" w:cs="宋体"/>
                <w:color w:val="000000"/>
                <w:kern w:val="0"/>
                <w:szCs w:val="21"/>
              </w:rPr>
              <w:t>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4.</w:t>
            </w:r>
            <w:r>
              <w:rPr>
                <w:rFonts w:hint="eastAsia" w:ascii="宋体" w:hAnsi="宋体" w:cs="宋体"/>
                <w:color w:val="000000"/>
                <w:kern w:val="0"/>
                <w:szCs w:val="21"/>
              </w:rPr>
              <w:t>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5.</w:t>
            </w:r>
            <w:r>
              <w:rPr>
                <w:rFonts w:hint="eastAsia" w:ascii="宋体" w:hAnsi="宋体" w:cs="宋体"/>
                <w:color w:val="000000"/>
                <w:kern w:val="0"/>
                <w:szCs w:val="21"/>
              </w:rPr>
              <w:t>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6.</w:t>
            </w:r>
            <w:r>
              <w:rPr>
                <w:rFonts w:hint="eastAsia" w:ascii="宋体" w:hAnsi="宋体" w:cs="宋体"/>
                <w:color w:val="000000"/>
                <w:kern w:val="0"/>
                <w:szCs w:val="21"/>
              </w:rPr>
              <w:t>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7.</w:t>
            </w:r>
            <w:r>
              <w:rPr>
                <w:rFonts w:hint="eastAsia" w:ascii="宋体" w:hAnsi="宋体" w:cs="宋体"/>
                <w:color w:val="000000"/>
                <w:kern w:val="0"/>
                <w:szCs w:val="21"/>
              </w:rPr>
              <w:t>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8.自然资源</w:t>
            </w:r>
            <w:r>
              <w:rPr>
                <w:rFonts w:hint="eastAsia" w:ascii="宋体" w:hAnsi="宋体" w:cs="宋体"/>
                <w:color w:val="000000"/>
                <w:kern w:val="0"/>
                <w:szCs w:val="21"/>
              </w:rPr>
              <w:t>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9.</w:t>
            </w:r>
            <w:r>
              <w:rPr>
                <w:rFonts w:hint="eastAsia" w:ascii="宋体" w:hAnsi="宋体" w:cs="宋体"/>
                <w:color w:val="000000"/>
                <w:kern w:val="0"/>
                <w:szCs w:val="21"/>
              </w:rPr>
              <w:t>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w:t>
            </w:r>
            <w:r>
              <w:rPr>
                <w:rFonts w:hint="eastAsia" w:ascii="宋体" w:hAnsi="宋体" w:cs="宋体"/>
                <w:color w:val="000000"/>
                <w:kern w:val="0"/>
                <w:szCs w:val="21"/>
                <w:lang w:val="en-US" w:eastAsia="zh-CN"/>
              </w:rPr>
              <w:t>.</w:t>
            </w:r>
            <w:r>
              <w:rPr>
                <w:rFonts w:hint="eastAsia" w:ascii="宋体" w:hAnsi="宋体" w:cs="宋体"/>
                <w:color w:val="000000"/>
                <w:kern w:val="0"/>
                <w:szCs w:val="21"/>
              </w:rPr>
              <w:t>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 xml:space="preserve">  2</w:t>
            </w:r>
            <w:r>
              <w:rPr>
                <w:rFonts w:hint="eastAsia" w:ascii="宋体" w:hAnsi="宋体" w:cs="宋体"/>
                <w:color w:val="000000"/>
                <w:kern w:val="0"/>
                <w:szCs w:val="21"/>
                <w:lang w:eastAsia="zh-CN"/>
              </w:rPr>
              <w:t>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22.</w:t>
            </w:r>
            <w:r>
              <w:rPr>
                <w:rFonts w:hint="eastAsia" w:ascii="宋体" w:hAnsi="宋体" w:cs="宋体"/>
                <w:color w:val="000000"/>
                <w:kern w:val="0"/>
                <w:szCs w:val="21"/>
                <w:lang w:eastAsia="zh-CN"/>
              </w:rPr>
              <w:t>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w:t>
            </w:r>
            <w:r>
              <w:rPr>
                <w:rFonts w:hint="eastAsia" w:ascii="宋体" w:hAnsi="宋体" w:cs="宋体"/>
                <w:color w:val="000000"/>
                <w:kern w:val="0"/>
                <w:szCs w:val="21"/>
                <w:lang w:eastAsia="zh-CN"/>
              </w:rPr>
              <w:t>其他支出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75.62</w:t>
            </w:r>
          </w:p>
        </w:tc>
      </w:tr>
      <w:tr>
        <w:tblPrEx>
          <w:tblLayout w:type="fixed"/>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eastAsia="zh-CN"/>
              </w:rPr>
              <w:t>使用非财政拨款结余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75.62</w:t>
            </w:r>
          </w:p>
        </w:tc>
      </w:tr>
    </w:tbl>
    <w:p>
      <w:pPr>
        <w:keepNext w:val="0"/>
        <w:keepLines w:val="0"/>
        <w:widowControl/>
        <w:suppressLineNumbers w:val="0"/>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eastAsia="zh-CN"/>
        </w:rPr>
        <w:t>陕西省教科文卫体工会委员会</w:t>
      </w:r>
      <w:r>
        <w:rPr>
          <w:rFonts w:hint="eastAsia" w:ascii="宋体" w:hAnsi="宋体" w:cs="宋体"/>
          <w:b/>
          <w:bCs/>
          <w:szCs w:val="21"/>
        </w:rPr>
        <w:t xml:space="preserve">                                  金额单位：万元</w:t>
      </w:r>
    </w:p>
    <w:tbl>
      <w:tblPr>
        <w:tblStyle w:val="11"/>
        <w:tblW w:w="8867" w:type="dxa"/>
        <w:tblInd w:w="0" w:type="dxa"/>
        <w:tblLayout w:type="fixed"/>
        <w:tblCellMar>
          <w:top w:w="15" w:type="dxa"/>
          <w:left w:w="15" w:type="dxa"/>
          <w:bottom w:w="15" w:type="dxa"/>
          <w:right w:w="15" w:type="dxa"/>
        </w:tblCellMar>
      </w:tblPr>
      <w:tblGrid>
        <w:gridCol w:w="927"/>
        <w:gridCol w:w="1144"/>
        <w:gridCol w:w="885"/>
        <w:gridCol w:w="945"/>
        <w:gridCol w:w="900"/>
        <w:gridCol w:w="660"/>
        <w:gridCol w:w="840"/>
        <w:gridCol w:w="766"/>
        <w:gridCol w:w="990"/>
        <w:gridCol w:w="810"/>
      </w:tblGrid>
      <w:tr>
        <w:tblPrEx>
          <w:tblLayout w:type="fixed"/>
          <w:tblCellMar>
            <w:top w:w="15" w:type="dxa"/>
            <w:left w:w="15" w:type="dxa"/>
            <w:bottom w:w="15" w:type="dxa"/>
            <w:right w:w="15" w:type="dxa"/>
          </w:tblCellMar>
        </w:tblPrEx>
        <w:trPr>
          <w:trHeight w:val="439" w:hRule="atLeast"/>
        </w:trPr>
        <w:tc>
          <w:tcPr>
            <w:tcW w:w="20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9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事业收入</w:t>
            </w:r>
          </w:p>
        </w:tc>
        <w:tc>
          <w:tcPr>
            <w:tcW w:w="7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Layout w:type="fixed"/>
          <w:tblCellMar>
            <w:top w:w="15" w:type="dxa"/>
            <w:left w:w="15" w:type="dxa"/>
            <w:bottom w:w="15" w:type="dxa"/>
            <w:right w:w="15" w:type="dxa"/>
          </w:tblCellMar>
        </w:tblPrEx>
        <w:trPr>
          <w:trHeight w:val="1125" w:hRule="atLeast"/>
        </w:trPr>
        <w:tc>
          <w:tcPr>
            <w:tcW w:w="927"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14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8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小计</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b/>
                <w:color w:val="000000"/>
                <w:szCs w:val="21"/>
                <w:lang w:eastAsia="zh-CN"/>
              </w:rPr>
            </w:pPr>
            <w:r>
              <w:rPr>
                <w:rFonts w:hint="eastAsia" w:ascii="宋体" w:hAnsi="宋体" w:cs="宋体"/>
                <w:b/>
                <w:color w:val="000000"/>
                <w:szCs w:val="21"/>
                <w:lang w:eastAsia="zh-CN"/>
              </w:rPr>
              <w:t>其中：教育收费</w:t>
            </w: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439" w:hRule="atLeast"/>
        </w:trPr>
        <w:tc>
          <w:tcPr>
            <w:tcW w:w="20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201</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一般公共服务支出</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20129</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群众团体事务</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2012901</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 xml:space="preserve">  行政运行</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4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注：本表反映部门本年度取得的各项收入情况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eastAsia="zh-CN"/>
        </w:rPr>
        <w:t>陕西省教科文卫体工会委员会</w:t>
      </w:r>
      <w:r>
        <w:rPr>
          <w:rFonts w:hint="eastAsia" w:ascii="宋体" w:hAnsi="宋体" w:cs="宋体"/>
          <w:b/>
          <w:bCs/>
          <w:szCs w:val="21"/>
        </w:rPr>
        <w:t xml:space="preserve">                                 金额单位：万元</w:t>
      </w:r>
    </w:p>
    <w:tbl>
      <w:tblPr>
        <w:tblStyle w:val="11"/>
        <w:tblW w:w="8896" w:type="dxa"/>
        <w:tblInd w:w="0" w:type="dxa"/>
        <w:tblLayout w:type="fixed"/>
        <w:tblCellMar>
          <w:top w:w="15" w:type="dxa"/>
          <w:left w:w="15" w:type="dxa"/>
          <w:bottom w:w="15" w:type="dxa"/>
          <w:right w:w="15" w:type="dxa"/>
        </w:tblCellMar>
      </w:tblPr>
      <w:tblGrid>
        <w:gridCol w:w="914"/>
        <w:gridCol w:w="83"/>
        <w:gridCol w:w="1219"/>
        <w:gridCol w:w="1255"/>
        <w:gridCol w:w="986"/>
        <w:gridCol w:w="1077"/>
        <w:gridCol w:w="1109"/>
        <w:gridCol w:w="908"/>
        <w:gridCol w:w="1345"/>
      </w:tblGrid>
      <w:tr>
        <w:tblPrEx>
          <w:tblLayout w:type="fixed"/>
          <w:tblCellMar>
            <w:top w:w="15" w:type="dxa"/>
            <w:left w:w="15" w:type="dxa"/>
            <w:bottom w:w="15" w:type="dxa"/>
            <w:right w:w="15" w:type="dxa"/>
          </w:tblCellMar>
        </w:tblPrEx>
        <w:trPr>
          <w:trHeight w:val="372" w:hRule="atLeast"/>
        </w:trPr>
        <w:tc>
          <w:tcPr>
            <w:tcW w:w="2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lang w:eastAsia="zh-CN"/>
              </w:rPr>
            </w:pPr>
            <w:r>
              <w:rPr>
                <w:rFonts w:hint="eastAsia" w:ascii="宋体" w:hAnsi="宋体" w:cs="宋体"/>
                <w:b/>
                <w:color w:val="000000"/>
                <w:kern w:val="0"/>
                <w:szCs w:val="21"/>
                <w:lang w:eastAsia="zh-CN"/>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9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1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9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Layout w:type="fixed"/>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372" w:hRule="atLeast"/>
        </w:trPr>
        <w:tc>
          <w:tcPr>
            <w:tcW w:w="2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201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一般公共服务支出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20129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群众团体事务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2012901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18"/>
                <w:szCs w:val="18"/>
                <w:u w:val="none"/>
                <w:lang w:val="en-US" w:eastAsia="zh-CN" w:bidi="ar"/>
              </w:rPr>
              <w:t xml:space="preserve">  行政运行</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tabs>
                <w:tab w:val="left" w:pos="506"/>
              </w:tabs>
              <w:jc w:val="left"/>
              <w:rPr>
                <w:rFonts w:hint="default" w:ascii="宋体" w:hAnsi="宋体" w:eastAsia="宋体" w:cs="宋体"/>
                <w:color w:val="000000"/>
                <w:szCs w:val="21"/>
                <w:lang w:val="en-US"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注：本表反映部门本年度各项支出情况。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陕西省教科文卫体工会委员会</w:t>
      </w:r>
      <w:r>
        <w:rPr>
          <w:rFonts w:hint="eastAsia" w:ascii="宋体" w:hAnsi="宋体" w:cs="宋体"/>
          <w:b/>
          <w:bCs/>
          <w:szCs w:val="21"/>
        </w:rPr>
        <w:t xml:space="preserve">                                  金额单位：万元</w:t>
      </w:r>
    </w:p>
    <w:tbl>
      <w:tblPr>
        <w:tblStyle w:val="11"/>
        <w:tblW w:w="8965" w:type="dxa"/>
        <w:tblInd w:w="0" w:type="dxa"/>
        <w:tblLayout w:type="fixed"/>
        <w:tblCellMar>
          <w:top w:w="15" w:type="dxa"/>
          <w:left w:w="15" w:type="dxa"/>
          <w:bottom w:w="15" w:type="dxa"/>
          <w:right w:w="15" w:type="dxa"/>
        </w:tblCellMar>
      </w:tblPr>
      <w:tblGrid>
        <w:gridCol w:w="1443"/>
        <w:gridCol w:w="1038"/>
        <w:gridCol w:w="2330"/>
        <w:gridCol w:w="808"/>
        <w:gridCol w:w="1015"/>
        <w:gridCol w:w="1166"/>
        <w:gridCol w:w="1165"/>
      </w:tblGrid>
      <w:tr>
        <w:tblPrEx>
          <w:tblLayout w:type="fixed"/>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p>
        </w:tc>
      </w:tr>
      <w:tr>
        <w:tblPrEx>
          <w:tblLayout w:type="fixed"/>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eastAsia="zh-CN"/>
              </w:rPr>
              <w:t>预算财政拨款</w:t>
            </w:r>
          </w:p>
        </w:tc>
      </w:tr>
      <w:tr>
        <w:tblPrEx>
          <w:tblLayout w:type="fixed"/>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75.62</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一般公共服务支出</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1"/>
                <w:szCs w:val="21"/>
                <w:lang w:val="en-US" w:eastAsia="zh-CN" w:bidi="ar-SA"/>
              </w:rPr>
            </w:pPr>
            <w:r>
              <w:rPr>
                <w:rFonts w:hint="eastAsia" w:ascii="宋体" w:hAnsi="宋体" w:eastAsia="宋体" w:cs="宋体"/>
                <w:i w:val="0"/>
                <w:color w:val="000000"/>
                <w:kern w:val="0"/>
                <w:sz w:val="22"/>
                <w:szCs w:val="22"/>
                <w:u w:val="none"/>
                <w:lang w:val="en-US" w:eastAsia="zh-CN" w:bidi="ar"/>
              </w:rPr>
              <w:t>75.62</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外交支出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国防支出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公共安全支出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教育支出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科学技术支出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7.</w:t>
            </w:r>
            <w:r>
              <w:rPr>
                <w:rFonts w:hint="eastAsia" w:ascii="宋体" w:hAnsi="宋体" w:cs="宋体"/>
                <w:color w:val="000000"/>
                <w:spacing w:val="-11"/>
                <w:w w:val="98"/>
                <w:kern w:val="0"/>
                <w:sz w:val="18"/>
                <w:szCs w:val="18"/>
              </w:rPr>
              <w:t>文化</w:t>
            </w:r>
            <w:r>
              <w:rPr>
                <w:rFonts w:hint="eastAsia" w:ascii="宋体" w:hAnsi="宋体" w:cs="宋体"/>
                <w:color w:val="000000"/>
                <w:spacing w:val="-11"/>
                <w:w w:val="98"/>
                <w:kern w:val="0"/>
                <w:sz w:val="18"/>
                <w:szCs w:val="18"/>
                <w:lang w:eastAsia="zh-CN"/>
              </w:rPr>
              <w:t>旅游</w:t>
            </w:r>
            <w:r>
              <w:rPr>
                <w:rFonts w:hint="eastAsia" w:ascii="宋体" w:hAnsi="宋体" w:cs="宋体"/>
                <w:color w:val="000000"/>
                <w:spacing w:val="-11"/>
                <w:w w:val="98"/>
                <w:kern w:val="0"/>
                <w:sz w:val="18"/>
                <w:szCs w:val="18"/>
              </w:rPr>
              <w:t>体育与传媒支出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8.</w:t>
            </w:r>
            <w:r>
              <w:rPr>
                <w:rFonts w:hint="eastAsia" w:ascii="宋体" w:hAnsi="宋体" w:cs="宋体"/>
                <w:color w:val="000000"/>
                <w:kern w:val="0"/>
                <w:sz w:val="18"/>
                <w:szCs w:val="18"/>
              </w:rPr>
              <w:t>社会保障和就业支出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9.卫生健康</w:t>
            </w:r>
            <w:r>
              <w:rPr>
                <w:rFonts w:hint="eastAsia" w:ascii="宋体" w:hAnsi="宋体" w:cs="宋体"/>
                <w:color w:val="000000"/>
                <w:kern w:val="0"/>
                <w:sz w:val="18"/>
                <w:szCs w:val="18"/>
              </w:rPr>
              <w:t>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节能环保支出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城乡社区支出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农林水支出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交通运输支出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资源勘探信息等支出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商业服务业等支出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金融支出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7.</w:t>
            </w:r>
            <w:r>
              <w:rPr>
                <w:rFonts w:hint="eastAsia" w:ascii="宋体" w:hAnsi="宋体" w:cs="宋体"/>
                <w:color w:val="000000"/>
                <w:kern w:val="0"/>
                <w:sz w:val="18"/>
                <w:szCs w:val="18"/>
              </w:rPr>
              <w:t>援助其他地区支出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18.自然资源海洋气象等支出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9.</w:t>
            </w:r>
            <w:r>
              <w:rPr>
                <w:rFonts w:hint="eastAsia" w:ascii="宋体" w:hAnsi="宋体" w:cs="宋体"/>
                <w:color w:val="000000"/>
                <w:kern w:val="0"/>
                <w:sz w:val="18"/>
                <w:szCs w:val="18"/>
              </w:rPr>
              <w:t>住房保障支出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粮油物资储备支出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1.国有资本经营预算支出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w:t>
            </w:r>
            <w:r>
              <w:rPr>
                <w:rFonts w:hint="eastAsia" w:ascii="宋体" w:hAnsi="宋体" w:cs="宋体"/>
                <w:color w:val="000000"/>
                <w:kern w:val="0"/>
                <w:sz w:val="18"/>
                <w:szCs w:val="18"/>
                <w:lang w:eastAsia="zh-CN"/>
              </w:rPr>
              <w:t>灾害防治及应急管理支出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default" w:ascii="宋体" w:hAnsi="宋体" w:eastAsia="宋体" w:cs="宋体"/>
                <w:color w:val="000000"/>
                <w:kern w:val="0"/>
                <w:sz w:val="21"/>
                <w:szCs w:val="21"/>
                <w:lang w:val="en-US" w:eastAsia="zh-CN" w:bidi="ar-SA"/>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23.</w:t>
            </w:r>
            <w:r>
              <w:rPr>
                <w:rFonts w:hint="eastAsia" w:ascii="宋体" w:hAnsi="宋体" w:cs="宋体"/>
                <w:color w:val="000000"/>
                <w:kern w:val="0"/>
                <w:sz w:val="18"/>
                <w:szCs w:val="18"/>
                <w:lang w:eastAsia="zh-CN"/>
              </w:rPr>
              <w:t>其他支出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default" w:ascii="宋体" w:hAnsi="宋体" w:eastAsia="宋体" w:cs="宋体"/>
                <w:color w:val="000000"/>
                <w:kern w:val="0"/>
                <w:sz w:val="21"/>
                <w:szCs w:val="21"/>
                <w:lang w:val="en-US" w:eastAsia="zh-CN" w:bidi="ar-SA"/>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陕西省教科文卫体工会委员会</w:t>
      </w:r>
      <w:r>
        <w:rPr>
          <w:rFonts w:hint="eastAsia" w:ascii="宋体" w:hAnsi="宋体" w:cs="宋体"/>
          <w:b/>
          <w:bCs/>
          <w:szCs w:val="21"/>
        </w:rPr>
        <w:t xml:space="preserve">                            金额单位：万元</w:t>
      </w:r>
    </w:p>
    <w:tbl>
      <w:tblPr>
        <w:tblStyle w:val="11"/>
        <w:tblW w:w="8954" w:type="dxa"/>
        <w:tblInd w:w="0" w:type="dxa"/>
        <w:tblLayout w:type="fixed"/>
        <w:tblCellMar>
          <w:top w:w="15" w:type="dxa"/>
          <w:left w:w="15" w:type="dxa"/>
          <w:bottom w:w="15" w:type="dxa"/>
          <w:right w:w="15" w:type="dxa"/>
        </w:tblCellMar>
      </w:tblPr>
      <w:tblGrid>
        <w:gridCol w:w="1534"/>
        <w:gridCol w:w="958"/>
        <w:gridCol w:w="2319"/>
        <w:gridCol w:w="808"/>
        <w:gridCol w:w="1015"/>
        <w:gridCol w:w="1166"/>
        <w:gridCol w:w="1154"/>
      </w:tblGrid>
      <w:tr>
        <w:tblPrEx>
          <w:tblLayout w:type="fixed"/>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r>
      <w:tr>
        <w:tblPrEx>
          <w:tblLayout w:type="fixed"/>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eastAsia="宋体" w:cs="宋体"/>
                <w:b/>
                <w:color w:val="000000"/>
                <w:kern w:val="0"/>
                <w:sz w:val="18"/>
                <w:szCs w:val="18"/>
                <w:lang w:eastAsia="zh-CN"/>
              </w:rPr>
            </w:pPr>
            <w:r>
              <w:rPr>
                <w:rFonts w:hint="eastAsia" w:ascii="宋体" w:hAnsi="宋体" w:cs="宋体"/>
                <w:b/>
                <w:color w:val="000000"/>
                <w:kern w:val="0"/>
                <w:sz w:val="18"/>
                <w:szCs w:val="18"/>
                <w:lang w:eastAsia="zh-CN"/>
              </w:rPr>
              <w:t>预算财政拨款</w:t>
            </w:r>
          </w:p>
        </w:tc>
      </w:tr>
      <w:tr>
        <w:tblPrEx>
          <w:tblLayout w:type="fixed"/>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75.62</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Cs w:val="21"/>
              </w:rPr>
            </w:pPr>
            <w:r>
              <w:rPr>
                <w:rFonts w:hint="eastAsia" w:ascii="宋体" w:hAnsi="宋体" w:eastAsia="宋体" w:cs="宋体"/>
                <w:i w:val="0"/>
                <w:color w:val="000000"/>
                <w:kern w:val="0"/>
                <w:sz w:val="22"/>
                <w:szCs w:val="22"/>
                <w:u w:val="none"/>
                <w:lang w:val="en-US" w:eastAsia="zh-CN" w:bidi="ar"/>
              </w:rPr>
              <w:t>75.62</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Cs w:val="21"/>
              </w:rPr>
            </w:pPr>
            <w:r>
              <w:rPr>
                <w:rFonts w:hint="eastAsia" w:ascii="宋体" w:hAnsi="宋体" w:eastAsia="宋体" w:cs="宋体"/>
                <w:i w:val="0"/>
                <w:color w:val="000000"/>
                <w:kern w:val="0"/>
                <w:sz w:val="22"/>
                <w:szCs w:val="22"/>
                <w:u w:val="none"/>
                <w:lang w:val="en-US" w:eastAsia="zh-CN" w:bidi="ar"/>
              </w:rPr>
              <w:t>75.62</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Layout w:type="fixed"/>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Layout w:type="fixed"/>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一般公共预算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Layout w:type="fixed"/>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政府性基金预算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Layout w:type="fixed"/>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360" w:leftChars="0" w:hanging="360" w:hangingChars="200"/>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国有资本经营</w:t>
            </w:r>
          </w:p>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Layout w:type="fixed"/>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 w:val="18"/>
                <w:szCs w:val="18"/>
              </w:rPr>
            </w:pPr>
            <w:r>
              <w:rPr>
                <w:rFonts w:hint="eastAsia" w:ascii="宋体" w:hAnsi="宋体" w:eastAsia="宋体" w:cs="宋体"/>
                <w:i w:val="0"/>
                <w:color w:val="000000"/>
                <w:kern w:val="0"/>
                <w:sz w:val="22"/>
                <w:szCs w:val="22"/>
                <w:u w:val="none"/>
                <w:lang w:val="en-US" w:eastAsia="zh-CN" w:bidi="ar"/>
              </w:rPr>
              <w:t>75.62</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Cs w:val="21"/>
              </w:rPr>
            </w:pPr>
            <w:r>
              <w:rPr>
                <w:rFonts w:hint="eastAsia" w:ascii="宋体" w:hAnsi="宋体" w:eastAsia="宋体" w:cs="宋体"/>
                <w:i w:val="0"/>
                <w:color w:val="000000"/>
                <w:kern w:val="0"/>
                <w:sz w:val="22"/>
                <w:szCs w:val="22"/>
                <w:u w:val="none"/>
                <w:lang w:val="en-US" w:eastAsia="zh-CN" w:bidi="ar"/>
              </w:rPr>
              <w:t>75.62</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kern w:val="0"/>
                <w:szCs w:val="21"/>
              </w:rPr>
            </w:pPr>
            <w:r>
              <w:rPr>
                <w:rFonts w:hint="eastAsia" w:ascii="宋体" w:hAnsi="宋体" w:eastAsia="宋体" w:cs="宋体"/>
                <w:i w:val="0"/>
                <w:color w:val="000000"/>
                <w:kern w:val="0"/>
                <w:sz w:val="22"/>
                <w:szCs w:val="22"/>
                <w:u w:val="none"/>
                <w:lang w:val="en-US" w:eastAsia="zh-CN" w:bidi="ar"/>
              </w:rPr>
              <w:t>75.62</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bl>
    <w:p>
      <w:pPr>
        <w:rPr>
          <w:rFonts w:ascii="宋体" w:hAnsi="宋体" w:cs="宋体"/>
          <w:szCs w:val="21"/>
        </w:rPr>
      </w:pPr>
    </w:p>
    <w:p>
      <w:pPr>
        <w:keepNext w:val="0"/>
        <w:keepLines w:val="0"/>
        <w:widowControl/>
        <w:suppressLineNumbers w:val="0"/>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rPr>
          <w:rFonts w:ascii="仿宋_GB2312" w:hAnsi="仿宋_GB2312" w:eastAsia="仿宋_GB2312" w:cs="仿宋_GB2312"/>
          <w:sz w:val="32"/>
          <w:szCs w:val="32"/>
        </w:rPr>
      </w:pPr>
    </w:p>
    <w:p>
      <w:pPr>
        <w:pStyle w:val="2"/>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陕西省教科文卫体工会委员会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1"/>
        <w:tblW w:w="8777" w:type="dxa"/>
        <w:tblInd w:w="0" w:type="dxa"/>
        <w:tblLayout w:type="fixed"/>
        <w:tblCellMar>
          <w:top w:w="15" w:type="dxa"/>
          <w:left w:w="15" w:type="dxa"/>
          <w:bottom w:w="15" w:type="dxa"/>
          <w:right w:w="15" w:type="dxa"/>
        </w:tblCellMar>
      </w:tblPr>
      <w:tblGrid>
        <w:gridCol w:w="1170"/>
        <w:gridCol w:w="1537"/>
        <w:gridCol w:w="1006"/>
        <w:gridCol w:w="1020"/>
        <w:gridCol w:w="935"/>
        <w:gridCol w:w="1039"/>
        <w:gridCol w:w="1020"/>
        <w:gridCol w:w="1050"/>
      </w:tblGrid>
      <w:tr>
        <w:tblPrEx>
          <w:tblLayout w:type="fixed"/>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99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Layout w:type="fixed"/>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72.32</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3.29</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72.32</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3.29</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20129</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群众团体事务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72.32</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3.29</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2012901</w:t>
            </w:r>
          </w:p>
        </w:tc>
        <w:tc>
          <w:tcPr>
            <w:tcW w:w="15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75.62</w:t>
            </w:r>
          </w:p>
        </w:tc>
        <w:tc>
          <w:tcPr>
            <w:tcW w:w="9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72.32</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3.29</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陕西省教科文卫体工会委员会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1"/>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Layout w:type="fixed"/>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Layout w:type="fixed"/>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Layout w:type="fixed"/>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bl>
    <w:p>
      <w:pPr>
        <w:keepNext w:val="0"/>
        <w:keepLines w:val="0"/>
        <w:widowControl/>
        <w:suppressLineNumbers w:val="0"/>
        <w:jc w:val="left"/>
        <w:rPr>
          <w:rFonts w:hint="eastAsia" w:ascii="宋体" w:hAnsi="宋体" w:cs="宋体"/>
          <w:szCs w:val="21"/>
          <w:lang w:eastAsia="zh-CN"/>
        </w:rPr>
      </w:pPr>
      <w:r>
        <w:rPr>
          <w:rFonts w:hint="eastAsia" w:ascii="宋体" w:hAnsi="宋体" w:cs="宋体"/>
          <w:szCs w:val="21"/>
        </w:rPr>
        <w:t>注：本表反映部门本年度一般公共预算财政拨款“三公”经费、会议费、培训费的支出</w:t>
      </w:r>
      <w:r>
        <w:rPr>
          <w:rFonts w:hint="eastAsia" w:ascii="宋体" w:hAnsi="宋体" w:cs="宋体"/>
          <w:szCs w:val="21"/>
          <w:lang w:eastAsia="zh-CN"/>
        </w:rPr>
        <w:t>预决算情况</w:t>
      </w:r>
      <w:r>
        <w:rPr>
          <w:rFonts w:hint="eastAsia" w:ascii="宋体" w:hAnsi="宋体" w:cs="宋体"/>
          <w:szCs w:val="21"/>
        </w:rPr>
        <w:t>。</w:t>
      </w:r>
      <w:r>
        <w:rPr>
          <w:rFonts w:hint="eastAsia" w:ascii="宋体" w:hAnsi="宋体" w:cs="宋体"/>
          <w:szCs w:val="21"/>
          <w:lang w:eastAsia="zh-CN"/>
        </w:rPr>
        <w:t xml:space="preserve">其中，预算数为全年预算数，反映按规定程序调整后的预算数；决算数是包括当年一般公共预算财政拨款和以前年度结转资金安排的实际支出。 </w:t>
      </w:r>
      <w:r>
        <w:rPr>
          <w:rFonts w:hint="eastAsia" w:ascii="宋体" w:hAnsi="宋体" w:cs="宋体"/>
          <w:szCs w:val="21"/>
          <w:lang w:val="en-US" w:eastAsia="zh-CN"/>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陕西省教科文卫体工会委员会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金额单位：万元</w:t>
      </w:r>
    </w:p>
    <w:tbl>
      <w:tblPr>
        <w:tblStyle w:val="11"/>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Layout w:type="fixed"/>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Layout w:type="fixed"/>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注：本表反映部门本年度政府性基金预算财政拨款收入</w:t>
      </w:r>
      <w:r>
        <w:rPr>
          <w:rFonts w:hint="eastAsia" w:ascii="宋体" w:hAnsi="宋体" w:cs="宋体"/>
          <w:szCs w:val="21"/>
          <w:lang w:eastAsia="zh-CN"/>
        </w:rPr>
        <w:t>、</w:t>
      </w:r>
      <w:r>
        <w:rPr>
          <w:rFonts w:hint="eastAsia" w:ascii="宋体" w:hAnsi="宋体" w:cs="宋体"/>
          <w:szCs w:val="21"/>
        </w:rPr>
        <w:t>支出及结转和结余情况。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jc w:val="center"/>
        <w:rPr>
          <w:rFonts w:hint="eastAsia" w:ascii="黑体" w:hAnsi="宋体" w:eastAsia="黑体"/>
          <w:color w:val="000000"/>
          <w:kern w:val="0"/>
          <w:sz w:val="44"/>
          <w:szCs w:val="44"/>
          <w:lang w:bidi="ar"/>
        </w:rPr>
      </w:pPr>
      <w:r>
        <w:rPr>
          <w:rFonts w:hint="eastAsia" w:ascii="黑体" w:hAnsi="宋体" w:eastAsia="黑体"/>
          <w:color w:val="000000"/>
          <w:kern w:val="0"/>
          <w:sz w:val="44"/>
          <w:szCs w:val="44"/>
          <w:lang w:bidi="ar"/>
        </w:rPr>
        <w:br w:type="page"/>
      </w:r>
    </w:p>
    <w:p>
      <w:pPr>
        <w:jc w:val="center"/>
        <w:rPr>
          <w:rFonts w:ascii="宋体" w:hAnsi="宋体" w:cs="宋体"/>
          <w:b/>
          <w:bCs/>
          <w:sz w:val="32"/>
          <w:szCs w:val="32"/>
        </w:rPr>
      </w:pPr>
      <w:r>
        <w:rPr>
          <w:rFonts w:hint="eastAsia" w:ascii="宋体" w:hAnsi="宋体" w:cs="宋体"/>
          <w:b/>
          <w:bCs/>
          <w:sz w:val="32"/>
          <w:szCs w:val="32"/>
          <w:lang w:eastAsia="zh-CN"/>
        </w:rPr>
        <w:t>国有资本经营</w:t>
      </w:r>
      <w:r>
        <w:rPr>
          <w:rFonts w:hint="eastAsia" w:ascii="宋体" w:hAnsi="宋体" w:cs="宋体"/>
          <w:b/>
          <w:bCs/>
          <w:sz w:val="32"/>
          <w:szCs w:val="32"/>
        </w:rPr>
        <w:t>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w:t>
      </w:r>
      <w:r>
        <w:rPr>
          <w:rFonts w:hint="eastAsia" w:ascii="宋体" w:hAnsi="宋体" w:cs="宋体"/>
          <w:b/>
          <w:bCs/>
          <w:szCs w:val="21"/>
          <w:lang w:val="en-US" w:eastAsia="zh-CN"/>
        </w:rPr>
        <w:t>9</w:t>
      </w:r>
      <w:r>
        <w:rPr>
          <w:rFonts w:hint="eastAsia" w:ascii="宋体" w:hAnsi="宋体" w:cs="宋体"/>
          <w:b/>
          <w:bCs/>
          <w:szCs w:val="21"/>
        </w:rPr>
        <w:t>表</w:t>
      </w:r>
    </w:p>
    <w:p>
      <w:pPr>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陕西省教科文卫体工会委员会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1"/>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Layout w:type="fixed"/>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Layout w:type="fixed"/>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Layout w:type="fixed"/>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keepNext w:val="0"/>
        <w:keepLines w:val="0"/>
        <w:widowControl/>
        <w:suppressLineNumbers w:val="0"/>
        <w:jc w:val="left"/>
        <w:rPr>
          <w:rFonts w:hint="eastAsia" w:ascii="宋体" w:hAnsi="宋体" w:cs="宋体"/>
          <w:szCs w:val="21"/>
        </w:rPr>
      </w:pPr>
    </w:p>
    <w:p>
      <w:pPr>
        <w:keepNext w:val="0"/>
        <w:keepLines w:val="0"/>
        <w:widowControl/>
        <w:suppressLineNumbers w:val="0"/>
        <w:jc w:val="left"/>
      </w:pPr>
      <w:r>
        <w:rPr>
          <w:rFonts w:hint="eastAsia" w:ascii="宋体" w:hAnsi="宋体" w:cs="宋体"/>
          <w:szCs w:val="21"/>
        </w:rPr>
        <w:t>注：本表反映部门本年度</w:t>
      </w:r>
      <w:r>
        <w:rPr>
          <w:rFonts w:hint="eastAsia" w:ascii="宋体" w:hAnsi="宋体" w:cs="宋体"/>
          <w:szCs w:val="21"/>
          <w:lang w:eastAsia="zh-CN"/>
        </w:rPr>
        <w:t>国有资本经营</w:t>
      </w:r>
      <w:r>
        <w:rPr>
          <w:rFonts w:hint="eastAsia" w:ascii="宋体" w:hAnsi="宋体" w:cs="宋体"/>
          <w:szCs w:val="21"/>
        </w:rPr>
        <w:t>预算财政拨款支出情况。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bidi="ar"/>
        </w:rPr>
        <w:t xml:space="preserve">第三部分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 xml:space="preserve"> 年部门决算情况</w:t>
      </w:r>
      <w:r>
        <w:rPr>
          <w:rFonts w:hint="eastAsia" w:ascii="方正小标宋简体" w:hAnsi="方正小标宋简体" w:eastAsia="方正小标宋简体" w:cs="方正小标宋简体"/>
          <w:color w:val="000000"/>
          <w:kern w:val="0"/>
          <w:sz w:val="44"/>
          <w:szCs w:val="44"/>
          <w:lang w:eastAsia="zh-CN" w:bidi="ar"/>
        </w:rPr>
        <w:t>说明</w:t>
      </w:r>
    </w:p>
    <w:p>
      <w:pPr>
        <w:keepNext w:val="0"/>
        <w:keepLines w:val="0"/>
        <w:pageBreakBefore w:val="0"/>
        <w:widowControl/>
        <w:kinsoku/>
        <w:wordWrap/>
        <w:overflowPunct/>
        <w:topLinePunct w:val="0"/>
        <w:autoSpaceDE/>
        <w:autoSpaceDN/>
        <w:bidi w:val="0"/>
        <w:spacing w:line="560" w:lineRule="exact"/>
        <w:textAlignment w:val="auto"/>
        <w:rPr>
          <w:rFonts w:ascii="黑体" w:hAnsi="宋体" w:eastAsia="黑体"/>
          <w:color w:val="000000"/>
          <w:kern w:val="0"/>
          <w:sz w:val="44"/>
          <w:szCs w:val="44"/>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一、收入支出决算总体情况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 w:eastAsia="仿宋_GB2312" w:cs="仿宋"/>
          <w:color w:val="000000"/>
          <w:sz w:val="32"/>
          <w:szCs w:val="32"/>
          <w:highlight w:val="none"/>
          <w:lang w:val="en-US" w:eastAsia="zh-CN"/>
        </w:rPr>
      </w:pPr>
      <w:r>
        <w:rPr>
          <w:rFonts w:hint="eastAsia" w:ascii="仿宋_GB2312" w:hAnsi="仿宋_GB2312" w:eastAsia="仿宋_GB2312" w:cs="仿宋_GB2312"/>
          <w:color w:val="000000"/>
          <w:sz w:val="32"/>
          <w:highlight w:val="none"/>
        </w:rPr>
        <w:t>20</w:t>
      </w: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度收入总计75.62万元。与2019年度相比，收入增加8.37万元，增加12.45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主要原因是</w:t>
      </w:r>
      <w:r>
        <w:rPr>
          <w:rFonts w:hint="eastAsia" w:ascii="仿宋_GB2312" w:hAnsi="仿宋_GB2312" w:eastAsia="仿宋_GB2312" w:cs="仿宋_GB2312"/>
          <w:color w:val="auto"/>
          <w:sz w:val="32"/>
          <w:highlight w:val="none"/>
          <w:lang w:val="en-US" w:eastAsia="zh-CN"/>
        </w:rPr>
        <w:t>财政供养人员工资福利提标，故本部门收入增加。</w:t>
      </w:r>
    </w:p>
    <w:p>
      <w:pPr>
        <w:spacing w:beforeLines="0" w:afterLines="0"/>
        <w:ind w:firstLine="640" w:firstLineChars="200"/>
        <w:jc w:val="center"/>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图1：收入变动情况   (单位：万元)</w:t>
      </w:r>
    </w:p>
    <w:p>
      <w:pPr>
        <w:pStyle w:val="2"/>
        <w:jc w:val="center"/>
        <w:rPr>
          <w:rFonts w:hint="eastAsia"/>
          <w:lang w:val="en-US" w:eastAsia="zh-CN"/>
        </w:rPr>
      </w:pPr>
      <w:r>
        <w:drawing>
          <wp:inline distT="0" distB="0" distL="114300" distR="114300">
            <wp:extent cx="4572000" cy="2743200"/>
            <wp:effectExtent l="4445" t="4445" r="14605" b="14605"/>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highlight w:val="none"/>
        </w:rPr>
        <w:t>20</w:t>
      </w: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度支出总计75.62</w:t>
      </w:r>
      <w:r>
        <w:rPr>
          <w:rFonts w:hint="eastAsia" w:ascii="仿宋_GB2312" w:hAnsi="仿宋_GB2312" w:eastAsia="仿宋_GB2312" w:cs="仿宋_GB2312"/>
          <w:color w:val="000000"/>
          <w:sz w:val="32"/>
          <w:highlight w:val="none"/>
        </w:rPr>
        <w:t>万元。与201</w:t>
      </w:r>
      <w:r>
        <w:rPr>
          <w:rFonts w:hint="eastAsia" w:ascii="仿宋_GB2312" w:hAnsi="仿宋_GB2312" w:eastAsia="仿宋_GB2312" w:cs="仿宋_GB2312"/>
          <w:color w:val="000000"/>
          <w:sz w:val="32"/>
          <w:highlight w:val="none"/>
          <w:lang w:val="en-US" w:eastAsia="zh-CN"/>
        </w:rPr>
        <w:t>9</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w:t>
      </w:r>
      <w:r>
        <w:rPr>
          <w:rFonts w:hint="eastAsia" w:ascii="仿宋_GB2312" w:hAnsi="仿宋_GB2312" w:eastAsia="仿宋_GB2312" w:cs="仿宋_GB2312"/>
          <w:color w:val="000000"/>
          <w:sz w:val="32"/>
          <w:highlight w:val="none"/>
        </w:rPr>
        <w:t>相比，</w:t>
      </w:r>
      <w:r>
        <w:rPr>
          <w:rFonts w:hint="eastAsia" w:ascii="仿宋_GB2312" w:hAnsi="仿宋_GB2312" w:eastAsia="仿宋_GB2312" w:cs="仿宋_GB2312"/>
          <w:color w:val="000000"/>
          <w:sz w:val="32"/>
          <w:highlight w:val="none"/>
          <w:lang w:val="en-US" w:eastAsia="zh-CN"/>
        </w:rPr>
        <w:t>支出增加8.37万元，增加12.45</w:t>
      </w:r>
      <w:r>
        <w:rPr>
          <w:rFonts w:hint="eastAsia" w:ascii="仿宋_GB2312" w:hAnsi="仿宋_GB2312" w:eastAsia="仿宋_GB2312" w:cs="仿宋_GB2312"/>
          <w:color w:val="000000"/>
          <w:sz w:val="32"/>
          <w:highlight w:val="none"/>
        </w:rPr>
        <w:t>%，主要原因是</w:t>
      </w:r>
      <w:r>
        <w:rPr>
          <w:rFonts w:hint="eastAsia" w:ascii="仿宋_GB2312" w:hAnsi="仿宋_GB2312" w:eastAsia="仿宋_GB2312" w:cs="仿宋_GB2312"/>
          <w:color w:val="auto"/>
          <w:sz w:val="32"/>
          <w:highlight w:val="none"/>
          <w:lang w:val="en-US" w:eastAsia="zh-CN"/>
        </w:rPr>
        <w:t>财政供养人员工资福利提标，故本部门收入增加。</w:t>
      </w:r>
    </w:p>
    <w:p>
      <w:pPr>
        <w:spacing w:beforeLines="0" w:afterLines="0"/>
        <w:ind w:firstLine="640" w:firstLineChars="200"/>
        <w:jc w:val="center"/>
        <w:rPr>
          <w:rFonts w:hint="eastAsia" w:ascii="仿宋_GB2312" w:hAnsi="仿宋_GB2312" w:eastAsia="仿宋_GB2312" w:cs="仿宋_GB2312"/>
          <w:color w:val="000000"/>
          <w:sz w:val="32"/>
          <w:lang w:val="en-US" w:eastAsia="zh-CN"/>
        </w:rPr>
      </w:pPr>
    </w:p>
    <w:p>
      <w:pPr>
        <w:spacing w:beforeLines="0" w:afterLines="0"/>
        <w:ind w:firstLine="640" w:firstLineChars="200"/>
        <w:jc w:val="center"/>
        <w:rPr>
          <w:rFonts w:hint="eastAsia" w:ascii="仿宋_GB2312" w:hAnsi="仿宋_GB2312" w:eastAsia="仿宋_GB2312" w:cs="仿宋_GB2312"/>
          <w:color w:val="000000"/>
          <w:sz w:val="32"/>
          <w:lang w:val="en-US" w:eastAsia="zh-CN"/>
        </w:rPr>
      </w:pPr>
    </w:p>
    <w:p>
      <w:pPr>
        <w:spacing w:beforeLines="0" w:afterLines="0"/>
        <w:ind w:firstLine="640" w:firstLineChars="200"/>
        <w:jc w:val="center"/>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图2：支出变动情况   (单位：万元)</w:t>
      </w:r>
    </w:p>
    <w:p>
      <w:pPr>
        <w:pStyle w:val="2"/>
      </w:pPr>
      <w:r>
        <w:rPr>
          <w:rFonts w:hint="eastAsia"/>
          <w:lang w:val="en-US" w:eastAsia="zh-CN"/>
        </w:rPr>
        <w:t xml:space="preserve">        </w:t>
      </w:r>
      <w:r>
        <w:drawing>
          <wp:inline distT="0" distB="0" distL="114300" distR="114300">
            <wp:extent cx="4572000" cy="2743200"/>
            <wp:effectExtent l="4445" t="4445" r="14605" b="14605"/>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w:t>
      </w:r>
      <w:r>
        <w:rPr>
          <w:rFonts w:hint="eastAsia" w:ascii="黑体" w:hAnsi="黑体" w:eastAsia="黑体"/>
          <w:color w:val="000000"/>
          <w:kern w:val="0"/>
          <w:sz w:val="32"/>
          <w:szCs w:val="32"/>
          <w:lang w:eastAsia="zh-CN" w:bidi="ar"/>
        </w:rPr>
        <w:t>说明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2020年收入合计75.62万元，其中：财政拨款收入75.62万元，占100</w:t>
      </w:r>
      <w:r>
        <w:rPr>
          <w:rFonts w:hint="default" w:ascii="仿宋_GB2312" w:hAnsi="仿宋_GB2312" w:eastAsia="仿宋_GB2312" w:cs="仿宋_GB2312"/>
          <w:color w:val="auto"/>
          <w:sz w:val="32"/>
          <w:lang w:val="en-US" w:eastAsia="zh-CN"/>
        </w:rPr>
        <w:t>%</w:t>
      </w:r>
      <w:r>
        <w:rPr>
          <w:rFonts w:hint="eastAsia" w:ascii="仿宋_GB2312" w:hAnsi="仿宋_GB2312" w:eastAsia="仿宋_GB2312" w:cs="仿宋_GB2312"/>
          <w:color w:val="auto"/>
          <w:sz w:val="32"/>
          <w:lang w:val="en-US" w:eastAsia="zh-CN"/>
        </w:rPr>
        <w:t>。</w:t>
      </w:r>
    </w:p>
    <w:p>
      <w:pPr>
        <w:spacing w:beforeLines="0" w:afterLines="0"/>
        <w:jc w:val="center"/>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auto"/>
          <w:sz w:val="32"/>
          <w:lang w:val="en-US" w:eastAsia="zh-CN"/>
        </w:rPr>
        <w:t>图3：收入决算情况</w:t>
      </w:r>
      <w:r>
        <w:rPr>
          <w:rFonts w:hint="eastAsia" w:ascii="仿宋_GB2312" w:hAnsi="仿宋_GB2312" w:eastAsia="仿宋_GB2312" w:cs="仿宋_GB2312"/>
          <w:color w:val="000000"/>
          <w:sz w:val="32"/>
          <w:lang w:val="en-US" w:eastAsia="zh-CN"/>
        </w:rPr>
        <w:t>(单位：万元)</w:t>
      </w:r>
    </w:p>
    <w:p>
      <w:pPr>
        <w:pStyle w:val="2"/>
        <w:jc w:val="center"/>
        <w:rPr>
          <w:rFonts w:hint="eastAsia"/>
          <w:lang w:val="en-US" w:eastAsia="zh-CN"/>
        </w:rPr>
      </w:pPr>
      <w:r>
        <w:drawing>
          <wp:inline distT="0" distB="0" distL="114300" distR="114300">
            <wp:extent cx="4572000" cy="2743200"/>
            <wp:effectExtent l="4445" t="4445" r="14605" b="14605"/>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rPr>
      </w:pPr>
      <w:r>
        <w:rPr>
          <w:rFonts w:hint="eastAsia" w:ascii="黑体" w:hAnsi="黑体" w:eastAsia="黑体"/>
          <w:color w:val="000000"/>
          <w:kern w:val="0"/>
          <w:sz w:val="32"/>
          <w:szCs w:val="32"/>
          <w:lang w:bidi="ar"/>
        </w:rPr>
        <w:t>三、支出决算情况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年支出合计</w:t>
      </w:r>
      <w:r>
        <w:rPr>
          <w:rFonts w:hint="eastAsia" w:ascii="仿宋_GB2312" w:hAnsi="仿宋_GB2312" w:eastAsia="仿宋_GB2312" w:cs="仿宋_GB2312"/>
          <w:color w:val="000000"/>
          <w:sz w:val="32"/>
          <w:highlight w:val="none"/>
          <w:lang w:val="en-US" w:eastAsia="zh-CN"/>
        </w:rPr>
        <w:t>75.62</w:t>
      </w:r>
      <w:r>
        <w:rPr>
          <w:rFonts w:hint="eastAsia" w:ascii="仿宋_GB2312" w:hAnsi="仿宋_GB2312" w:eastAsia="仿宋_GB2312" w:cs="仿宋_GB2312"/>
          <w:color w:val="000000"/>
          <w:sz w:val="32"/>
          <w:highlight w:val="none"/>
        </w:rPr>
        <w:t>万元</w:t>
      </w:r>
      <w:r>
        <w:rPr>
          <w:rFonts w:ascii="仿宋_GB2312" w:hAnsi="宋体" w:eastAsia="仿宋_GB2312" w:cs="仿宋_GB2312"/>
          <w:color w:val="000000"/>
          <w:kern w:val="0"/>
          <w:sz w:val="32"/>
          <w:szCs w:val="32"/>
          <w:lang w:bidi="ar"/>
        </w:rPr>
        <w:t>，其中：基本支出</w:t>
      </w:r>
      <w:r>
        <w:rPr>
          <w:rFonts w:hint="eastAsia" w:ascii="仿宋_GB2312" w:hAnsi="宋体" w:eastAsia="仿宋_GB2312" w:cs="仿宋_GB2312"/>
          <w:color w:val="000000"/>
          <w:kern w:val="0"/>
          <w:sz w:val="32"/>
          <w:szCs w:val="32"/>
          <w:lang w:val="en-US" w:eastAsia="zh-CN" w:bidi="ar"/>
        </w:rPr>
        <w:t>75.62</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p>
    <w:p>
      <w:pPr>
        <w:spacing w:beforeLines="0" w:afterLines="0"/>
        <w:jc w:val="center"/>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auto"/>
          <w:sz w:val="32"/>
          <w:lang w:val="en-US" w:eastAsia="zh-CN"/>
        </w:rPr>
        <w:t>图4：支出决算情况</w:t>
      </w:r>
      <w:r>
        <w:rPr>
          <w:rFonts w:hint="eastAsia" w:ascii="仿宋_GB2312" w:hAnsi="仿宋_GB2312" w:eastAsia="仿宋_GB2312" w:cs="仿宋_GB2312"/>
          <w:color w:val="000000"/>
          <w:sz w:val="32"/>
          <w:lang w:val="en-US" w:eastAsia="zh-CN"/>
        </w:rPr>
        <w:t>(单位：万元)</w:t>
      </w:r>
    </w:p>
    <w:p>
      <w:pPr>
        <w:pStyle w:val="2"/>
        <w:jc w:val="center"/>
        <w:rPr>
          <w:rFonts w:hint="eastAsia"/>
          <w:lang w:val="en-US" w:eastAsia="zh-CN"/>
        </w:rPr>
      </w:pPr>
      <w:r>
        <w:drawing>
          <wp:inline distT="0" distB="0" distL="114300" distR="114300">
            <wp:extent cx="4572000" cy="2743200"/>
            <wp:effectExtent l="4445" t="4445" r="14605" b="14605"/>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四、财政拨款收入支出决算总体情况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highlight w:val="none"/>
          <w:lang w:val="en-US" w:eastAsia="zh-CN"/>
        </w:rPr>
      </w:pPr>
      <w:r>
        <w:rPr>
          <w:rFonts w:hint="eastAsia" w:ascii="仿宋_GB2312" w:hAnsi="仿宋_GB2312" w:eastAsia="仿宋_GB2312" w:cs="仿宋_GB2312"/>
          <w:color w:val="auto"/>
          <w:sz w:val="32"/>
          <w:lang w:val="en-US" w:eastAsia="zh-CN"/>
        </w:rPr>
        <w:t>2020年度财政拨款收入75.62万元。与2019年度相比，收入</w:t>
      </w:r>
      <w:r>
        <w:rPr>
          <w:rFonts w:hint="eastAsia" w:ascii="仿宋_GB2312" w:hAnsi="仿宋_GB2312" w:eastAsia="仿宋_GB2312" w:cs="仿宋_GB2312"/>
          <w:color w:val="000000"/>
          <w:sz w:val="32"/>
          <w:highlight w:val="none"/>
          <w:lang w:val="en-US" w:eastAsia="zh-CN"/>
        </w:rPr>
        <w:t>增加8.37万元，增加12.45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auto"/>
          <w:sz w:val="32"/>
          <w:lang w:val="en-US" w:eastAsia="zh-CN"/>
        </w:rPr>
        <w:t>，</w:t>
      </w:r>
      <w:r>
        <w:rPr>
          <w:rFonts w:hint="eastAsia" w:ascii="仿宋_GB2312" w:hAnsi="仿宋_GB2312" w:eastAsia="仿宋_GB2312" w:cs="仿宋_GB2312"/>
          <w:color w:val="auto"/>
          <w:sz w:val="32"/>
          <w:highlight w:val="none"/>
          <w:lang w:val="en-US" w:eastAsia="zh-CN"/>
        </w:rPr>
        <w:t>主要原因是财政供养人员工资福利提标，故本部门收入增加。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图5：财政拨款收入变动情况(单位：万元)</w:t>
      </w:r>
    </w:p>
    <w:p>
      <w:pPr>
        <w:pStyle w:val="2"/>
        <w:jc w:val="center"/>
        <w:rPr>
          <w:rFonts w:hint="eastAsia"/>
          <w:lang w:val="en-US" w:eastAsia="zh-CN"/>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ind w:left="0" w:leftChars="0" w:firstLine="0" w:firstLineChars="0"/>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2020年度财政拨款支出75.62万元。与2019年度相比，支出增加</w:t>
      </w:r>
      <w:r>
        <w:rPr>
          <w:rFonts w:hint="eastAsia" w:ascii="仿宋_GB2312" w:hAnsi="仿宋_GB2312" w:eastAsia="仿宋_GB2312" w:cs="仿宋_GB2312"/>
          <w:color w:val="000000"/>
          <w:sz w:val="32"/>
          <w:highlight w:val="none"/>
          <w:lang w:val="en-US" w:eastAsia="zh-CN"/>
        </w:rPr>
        <w:t>8.37万元，增加12.45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auto"/>
          <w:sz w:val="32"/>
          <w:lang w:val="en-US" w:eastAsia="zh-CN"/>
        </w:rPr>
        <w:t>，</w:t>
      </w:r>
      <w:r>
        <w:rPr>
          <w:rFonts w:hint="eastAsia" w:ascii="仿宋_GB2312" w:hAnsi="仿宋_GB2312" w:eastAsia="仿宋_GB2312" w:cs="仿宋_GB2312"/>
          <w:color w:val="auto"/>
          <w:sz w:val="32"/>
          <w:highlight w:val="none"/>
          <w:lang w:val="en-US" w:eastAsia="zh-CN"/>
        </w:rPr>
        <w:t>主要原因是，财政供养人员工资福利提标，故本部门支出增加。</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pPr>
      <w:r>
        <w:rPr>
          <w:rFonts w:hint="eastAsia" w:ascii="仿宋_GB2312" w:hAnsi="仿宋_GB2312" w:eastAsia="仿宋_GB2312" w:cs="仿宋_GB2312"/>
          <w:color w:val="auto"/>
          <w:sz w:val="32"/>
          <w:lang w:val="en-US" w:eastAsia="zh-CN"/>
        </w:rPr>
        <w:t>图6：财政拨款支出变动情况(单位：万元)</w:t>
      </w:r>
    </w:p>
    <w:p>
      <w:pPr>
        <w:pStyle w:val="2"/>
        <w:ind w:left="0" w:leftChars="0" w:firstLine="0" w:firstLineChars="0"/>
        <w:jc w:val="center"/>
        <w:rPr>
          <w:rFonts w:hint="eastAsia" w:ascii="黑体" w:hAnsi="黑体" w:eastAsia="黑体"/>
          <w:color w:val="000000"/>
          <w:kern w:val="0"/>
          <w:sz w:val="32"/>
          <w:szCs w:val="32"/>
          <w:lang w:bidi="ar"/>
        </w:rPr>
      </w:pPr>
      <w:r>
        <w:drawing>
          <wp:inline distT="0" distB="0" distL="114300" distR="114300">
            <wp:extent cx="4572000" cy="2743200"/>
            <wp:effectExtent l="4445" t="4445" r="14605" b="1460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2020年财政拨款支出75.62万元，占本年支出合计的100%。其中：一般公共服务支出75.62万元，占100%.与上年相比，财政拨款支出增加</w:t>
      </w:r>
      <w:r>
        <w:rPr>
          <w:rFonts w:hint="eastAsia" w:ascii="仿宋_GB2312" w:hAnsi="仿宋_GB2312" w:eastAsia="仿宋_GB2312" w:cs="仿宋_GB2312"/>
          <w:color w:val="000000"/>
          <w:sz w:val="32"/>
          <w:highlight w:val="none"/>
          <w:lang w:val="en-US" w:eastAsia="zh-CN"/>
        </w:rPr>
        <w:t>8.37万元，增加12.45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auto"/>
          <w:sz w:val="32"/>
          <w:lang w:val="en-US" w:eastAsia="zh-CN"/>
        </w:rPr>
        <w:t>，</w:t>
      </w:r>
      <w:r>
        <w:rPr>
          <w:rFonts w:hint="eastAsia" w:ascii="仿宋_GB2312" w:hAnsi="仿宋_GB2312" w:eastAsia="仿宋_GB2312" w:cs="仿宋_GB2312"/>
          <w:color w:val="auto"/>
          <w:sz w:val="32"/>
          <w:highlight w:val="none"/>
          <w:lang w:val="en-US" w:eastAsia="zh-CN"/>
        </w:rPr>
        <w:t>主要原因是，财政供养人员工资福利提标，故本部门支出增加。</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000000"/>
          <w:sz w:val="32"/>
          <w:lang w:val="en-US" w:eastAsia="zh-CN"/>
        </w:rPr>
        <w:t>图7：财政拨款支出情况</w:t>
      </w:r>
      <w:r>
        <w:rPr>
          <w:rFonts w:hint="eastAsia" w:ascii="仿宋_GB2312" w:hAnsi="仿宋_GB2312" w:eastAsia="仿宋_GB2312" w:cs="仿宋_GB2312"/>
          <w:color w:val="auto"/>
          <w:sz w:val="32"/>
          <w:lang w:val="en-US" w:eastAsia="zh-CN"/>
        </w:rPr>
        <w:t>(单位：万元)</w:t>
      </w:r>
    </w:p>
    <w:p>
      <w:pPr>
        <w:pStyle w:val="2"/>
        <w:jc w:val="center"/>
      </w:pPr>
      <w:r>
        <w:drawing>
          <wp:inline distT="0" distB="0" distL="114300" distR="114300">
            <wp:extent cx="4572000" cy="2743200"/>
            <wp:effectExtent l="4445" t="4445" r="14605" b="14605"/>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sz w:val="32"/>
          <w:szCs w:val="32"/>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 xml:space="preserve"> 年财政拨款支出预算为</w:t>
      </w:r>
      <w:r>
        <w:rPr>
          <w:rFonts w:hint="eastAsia" w:ascii="仿宋_GB2312" w:hAnsi="宋体" w:eastAsia="仿宋_GB2312" w:cs="仿宋_GB2312"/>
          <w:color w:val="000000"/>
          <w:kern w:val="0"/>
          <w:sz w:val="32"/>
          <w:szCs w:val="32"/>
          <w:lang w:val="en-US" w:eastAsia="zh-CN" w:bidi="ar"/>
        </w:rPr>
        <w:t>194.02</w:t>
      </w:r>
      <w:r>
        <w:rPr>
          <w:rFonts w:ascii="仿宋_GB2312" w:hAnsi="宋体" w:eastAsia="仿宋_GB2312" w:cs="仿宋_GB2312"/>
          <w:color w:val="000000"/>
          <w:kern w:val="0"/>
          <w:sz w:val="32"/>
          <w:szCs w:val="32"/>
          <w:lang w:bidi="ar"/>
        </w:rPr>
        <w:t>万元，支出决算为</w:t>
      </w:r>
      <w:r>
        <w:rPr>
          <w:rFonts w:hint="eastAsia" w:ascii="仿宋_GB2312" w:hAnsi="仿宋_GB2312" w:eastAsia="仿宋_GB2312" w:cs="仿宋_GB2312"/>
          <w:color w:val="auto"/>
          <w:sz w:val="32"/>
          <w:lang w:val="en-US" w:eastAsia="zh-CN"/>
        </w:rPr>
        <w:t>75.62万元</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38.98</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按照政府功能分类科目，</w:t>
      </w:r>
      <w:r>
        <w:rPr>
          <w:rFonts w:ascii="仿宋_GB2312" w:hAnsi="宋体" w:eastAsia="仿宋_GB2312" w:cs="仿宋_GB2312"/>
          <w:color w:val="000000"/>
          <w:kern w:val="0"/>
          <w:sz w:val="32"/>
          <w:szCs w:val="32"/>
          <w:lang w:bidi="ar"/>
        </w:rPr>
        <w:t xml:space="preserve">其中： </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pPr>
      <w:r>
        <w:rPr>
          <w:rFonts w:ascii="仿宋_GB2312" w:hAnsi="宋体" w:eastAsia="仿宋_GB2312" w:cs="仿宋_GB2312"/>
          <w:b/>
          <w:color w:val="000000"/>
          <w:kern w:val="0"/>
          <w:sz w:val="32"/>
          <w:szCs w:val="32"/>
          <w:lang w:bidi="ar"/>
        </w:rPr>
        <w:t>1.一般公共服务支出（类）</w:t>
      </w:r>
      <w:r>
        <w:rPr>
          <w:rFonts w:hint="eastAsia" w:ascii="仿宋_GB2312" w:hAnsi="宋体" w:eastAsia="仿宋_GB2312" w:cs="仿宋_GB2312"/>
          <w:b/>
          <w:color w:val="000000"/>
          <w:kern w:val="0"/>
          <w:sz w:val="32"/>
          <w:szCs w:val="32"/>
          <w:highlight w:val="none"/>
          <w:lang w:bidi="ar"/>
        </w:rPr>
        <w:t>群众团体</w:t>
      </w:r>
      <w:r>
        <w:rPr>
          <w:rFonts w:ascii="仿宋_GB2312" w:hAnsi="宋体" w:eastAsia="仿宋_GB2312" w:cs="仿宋_GB2312"/>
          <w:b/>
          <w:color w:val="000000"/>
          <w:kern w:val="0"/>
          <w:sz w:val="32"/>
          <w:szCs w:val="32"/>
          <w:highlight w:val="none"/>
          <w:lang w:bidi="ar"/>
        </w:rPr>
        <w:t>事务</w:t>
      </w:r>
      <w:r>
        <w:rPr>
          <w:rFonts w:ascii="仿宋_GB2312" w:hAnsi="宋体" w:eastAsia="仿宋_GB2312" w:cs="仿宋_GB2312"/>
          <w:b/>
          <w:color w:val="000000"/>
          <w:kern w:val="0"/>
          <w:sz w:val="32"/>
          <w:szCs w:val="32"/>
          <w:lang w:bidi="ar"/>
        </w:rPr>
        <w:t xml:space="preserve">（款）行政运行（项）。 </w:t>
      </w:r>
    </w:p>
    <w:p>
      <w:pPr>
        <w:keepNext w:val="0"/>
        <w:keepLines w:val="0"/>
        <w:pageBreakBefore w:val="0"/>
        <w:widowControl/>
        <w:kinsoku/>
        <w:wordWrap/>
        <w:overflowPunct/>
        <w:topLinePunct w:val="0"/>
        <w:autoSpaceDE/>
        <w:autoSpaceDN/>
        <w:bidi w:val="0"/>
        <w:spacing w:line="560" w:lineRule="exact"/>
        <w:jc w:val="both"/>
        <w:textAlignment w:val="auto"/>
        <w:rPr>
          <w:rFonts w:ascii="仿宋_GB2312" w:hAnsi="宋体" w:eastAsia="仿宋_GB2312" w:cs="仿宋_GB2312"/>
          <w:color w:val="000000"/>
          <w:kern w:val="0"/>
          <w:sz w:val="32"/>
          <w:szCs w:val="32"/>
          <w:highlight w:val="yellow"/>
          <w:lang w:val="en-US" w:bidi="ar"/>
        </w:rPr>
      </w:pP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194.02</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75.62</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38.98</w:t>
      </w:r>
      <w:r>
        <w:rPr>
          <w:rFonts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highlight w:val="none"/>
          <w:lang w:bidi="ar"/>
        </w:rPr>
        <w:t>决算数</w:t>
      </w:r>
      <w:r>
        <w:rPr>
          <w:rFonts w:hint="eastAsia" w:ascii="仿宋_GB2312" w:hAnsi="宋体" w:eastAsia="仿宋_GB2312" w:cs="仿宋_GB2312"/>
          <w:color w:val="000000"/>
          <w:kern w:val="0"/>
          <w:sz w:val="32"/>
          <w:szCs w:val="32"/>
          <w:highlight w:val="none"/>
          <w:lang w:eastAsia="zh-CN" w:bidi="ar"/>
        </w:rPr>
        <w:t>小</w:t>
      </w:r>
      <w:r>
        <w:rPr>
          <w:rFonts w:hint="eastAsia" w:ascii="仿宋_GB2312" w:hAnsi="宋体" w:eastAsia="仿宋_GB2312" w:cs="仿宋_GB2312"/>
          <w:color w:val="000000"/>
          <w:kern w:val="0"/>
          <w:sz w:val="32"/>
          <w:szCs w:val="32"/>
          <w:highlight w:val="none"/>
          <w:lang w:bidi="ar"/>
        </w:rPr>
        <w:t>于</w:t>
      </w:r>
      <w:r>
        <w:rPr>
          <w:rFonts w:ascii="仿宋_GB2312" w:hAnsi="宋体" w:eastAsia="仿宋_GB2312" w:cs="仿宋_GB2312"/>
          <w:color w:val="000000"/>
          <w:kern w:val="0"/>
          <w:sz w:val="32"/>
          <w:szCs w:val="32"/>
          <w:highlight w:val="none"/>
          <w:lang w:bidi="ar"/>
        </w:rPr>
        <w:t>预算数的主要原因是</w:t>
      </w:r>
      <w:r>
        <w:rPr>
          <w:rFonts w:hint="eastAsia" w:ascii="仿宋_GB2312" w:hAnsi="宋体" w:eastAsia="仿宋_GB2312" w:cs="仿宋_GB2312"/>
          <w:color w:val="000000"/>
          <w:kern w:val="0"/>
          <w:sz w:val="32"/>
          <w:szCs w:val="32"/>
          <w:highlight w:val="none"/>
          <w:lang w:eastAsia="zh-CN" w:bidi="ar"/>
        </w:rPr>
        <w:t>预算执行力不足。</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六、一般公共预算财政拨款基本支出决算情况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kern w:val="0"/>
          <w:sz w:val="32"/>
          <w:szCs w:val="32"/>
          <w:lang w:bidi="ar"/>
        </w:rPr>
      </w:pPr>
      <w:r>
        <w:rPr>
          <w:rFonts w:ascii="仿宋_GB2312" w:hAnsi="仿宋_GB2312" w:eastAsia="仿宋_GB2312" w:cs="仿宋_GB2312"/>
          <w:color w:val="auto"/>
          <w:kern w:val="0"/>
          <w:sz w:val="32"/>
          <w:szCs w:val="32"/>
          <w:lang w:bidi="ar"/>
        </w:rPr>
        <w:t>20</w:t>
      </w:r>
      <w:r>
        <w:rPr>
          <w:rFonts w:hint="eastAsia" w:ascii="仿宋_GB2312" w:hAnsi="仿宋_GB2312" w:eastAsia="仿宋_GB2312" w:cs="仿宋_GB2312"/>
          <w:color w:val="auto"/>
          <w:kern w:val="0"/>
          <w:sz w:val="32"/>
          <w:szCs w:val="32"/>
          <w:lang w:val="en-US" w:eastAsia="zh-CN" w:bidi="ar"/>
        </w:rPr>
        <w:t>20</w:t>
      </w:r>
      <w:r>
        <w:rPr>
          <w:rFonts w:ascii="仿宋_GB2312" w:hAnsi="仿宋_GB2312" w:eastAsia="仿宋_GB2312" w:cs="仿宋_GB2312"/>
          <w:color w:val="auto"/>
          <w:kern w:val="0"/>
          <w:sz w:val="32"/>
          <w:szCs w:val="32"/>
          <w:lang w:bidi="ar"/>
        </w:rPr>
        <w:t>年</w:t>
      </w:r>
      <w:r>
        <w:rPr>
          <w:rFonts w:hint="eastAsia" w:ascii="仿宋_GB2312" w:hAnsi="仿宋_GB2312" w:eastAsia="仿宋_GB2312" w:cs="仿宋_GB2312"/>
          <w:color w:val="auto"/>
          <w:kern w:val="0"/>
          <w:sz w:val="32"/>
          <w:szCs w:val="32"/>
          <w:lang w:val="en-US" w:eastAsia="zh-CN" w:bidi="ar"/>
        </w:rPr>
        <w:t>度</w:t>
      </w:r>
      <w:r>
        <w:rPr>
          <w:rFonts w:ascii="仿宋_GB2312" w:hAnsi="仿宋_GB2312" w:eastAsia="仿宋_GB2312" w:cs="仿宋_GB2312"/>
          <w:color w:val="auto"/>
          <w:kern w:val="0"/>
          <w:sz w:val="32"/>
          <w:szCs w:val="32"/>
          <w:lang w:bidi="ar"/>
        </w:rPr>
        <w:t>一般公共预算财政拨款基本支出</w:t>
      </w:r>
      <w:r>
        <w:rPr>
          <w:rFonts w:hint="eastAsia" w:ascii="仿宋_GB2312" w:hAnsi="仿宋_GB2312" w:eastAsia="仿宋_GB2312" w:cs="仿宋_GB2312"/>
          <w:color w:val="auto"/>
          <w:kern w:val="0"/>
          <w:sz w:val="32"/>
          <w:szCs w:val="32"/>
          <w:lang w:val="en-US" w:eastAsia="zh-CN" w:bidi="ar"/>
        </w:rPr>
        <w:t>75.62</w:t>
      </w:r>
      <w:r>
        <w:rPr>
          <w:rFonts w:ascii="仿宋_GB2312" w:hAnsi="仿宋_GB2312" w:eastAsia="仿宋_GB2312" w:cs="仿宋_GB2312"/>
          <w:color w:val="auto"/>
          <w:kern w:val="0"/>
          <w:sz w:val="32"/>
          <w:szCs w:val="32"/>
          <w:lang w:bidi="ar"/>
        </w:rPr>
        <w:t>万元，</w:t>
      </w:r>
      <w:r>
        <w:rPr>
          <w:rFonts w:hint="eastAsia" w:ascii="仿宋_GB2312" w:hAnsi="仿宋_GB2312" w:eastAsia="仿宋_GB2312" w:cs="仿宋_GB2312"/>
          <w:color w:val="auto"/>
          <w:kern w:val="0"/>
          <w:sz w:val="32"/>
          <w:szCs w:val="32"/>
          <w:lang w:val="en-US" w:eastAsia="zh-CN" w:bidi="ar"/>
        </w:rPr>
        <w:t>包括</w:t>
      </w:r>
      <w:r>
        <w:rPr>
          <w:rFonts w:ascii="仿宋_GB2312" w:hAnsi="仿宋_GB2312" w:eastAsia="仿宋_GB2312" w:cs="仿宋_GB2312"/>
          <w:color w:val="auto"/>
          <w:kern w:val="0"/>
          <w:sz w:val="32"/>
          <w:szCs w:val="32"/>
          <w:lang w:bidi="ar"/>
        </w:rPr>
        <w:t>：人员经费</w:t>
      </w:r>
      <w:r>
        <w:rPr>
          <w:rFonts w:hint="eastAsia" w:ascii="仿宋_GB2312" w:hAnsi="仿宋_GB2312" w:eastAsia="仿宋_GB2312" w:cs="仿宋_GB2312"/>
          <w:color w:val="auto"/>
          <w:kern w:val="0"/>
          <w:sz w:val="32"/>
          <w:szCs w:val="32"/>
          <w:lang w:val="en-US" w:eastAsia="zh-CN" w:bidi="ar"/>
        </w:rPr>
        <w:t>支出72.32</w:t>
      </w:r>
      <w:r>
        <w:rPr>
          <w:rFonts w:ascii="仿宋_GB2312" w:hAnsi="仿宋_GB2312" w:eastAsia="仿宋_GB2312" w:cs="仿宋_GB2312"/>
          <w:color w:val="auto"/>
          <w:kern w:val="0"/>
          <w:sz w:val="32"/>
          <w:szCs w:val="32"/>
          <w:lang w:bidi="ar"/>
        </w:rPr>
        <w:t>万元和公用经费</w:t>
      </w:r>
      <w:r>
        <w:rPr>
          <w:rFonts w:hint="eastAsia" w:ascii="仿宋_GB2312" w:hAnsi="仿宋_GB2312" w:eastAsia="仿宋_GB2312" w:cs="仿宋_GB2312"/>
          <w:color w:val="auto"/>
          <w:kern w:val="0"/>
          <w:sz w:val="32"/>
          <w:szCs w:val="32"/>
          <w:lang w:val="en-US" w:eastAsia="zh-CN" w:bidi="ar"/>
        </w:rPr>
        <w:t>支出3.29</w:t>
      </w:r>
      <w:r>
        <w:rPr>
          <w:rFonts w:ascii="仿宋_GB2312" w:hAnsi="仿宋_GB2312" w:eastAsia="仿宋_GB2312" w:cs="仿宋_GB2312"/>
          <w:color w:val="auto"/>
          <w:kern w:val="0"/>
          <w:sz w:val="32"/>
          <w:szCs w:val="32"/>
          <w:lang w:bidi="ar"/>
        </w:rPr>
        <w:t>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仿宋_GB2312" w:hAnsi="宋体" w:eastAsia="仿宋_GB2312" w:cs="仿宋_GB2312"/>
          <w:color w:val="auto"/>
          <w:kern w:val="0"/>
          <w:sz w:val="32"/>
          <w:szCs w:val="32"/>
          <w:lang w:bidi="ar"/>
        </w:rPr>
      </w:pPr>
      <w:r>
        <w:rPr>
          <w:rFonts w:ascii="仿宋_GB2312" w:hAnsi="宋体" w:eastAsia="仿宋_GB2312" w:cs="仿宋_GB2312"/>
          <w:b/>
          <w:bCs/>
          <w:color w:val="auto"/>
          <w:kern w:val="0"/>
          <w:sz w:val="32"/>
          <w:szCs w:val="32"/>
          <w:lang w:bidi="ar"/>
        </w:rPr>
        <w:t>人员经费</w:t>
      </w:r>
      <w:r>
        <w:rPr>
          <w:rFonts w:hint="eastAsia" w:ascii="仿宋_GB2312" w:hAnsi="仿宋_GB2312" w:eastAsia="仿宋_GB2312" w:cs="仿宋_GB2312"/>
          <w:color w:val="auto"/>
          <w:kern w:val="0"/>
          <w:sz w:val="32"/>
          <w:szCs w:val="32"/>
          <w:lang w:val="en-US" w:eastAsia="zh-CN" w:bidi="ar"/>
        </w:rPr>
        <w:t>72.32</w:t>
      </w:r>
      <w:r>
        <w:rPr>
          <w:rFonts w:ascii="仿宋_GB2312" w:hAnsi="宋体" w:eastAsia="仿宋_GB2312" w:cs="仿宋_GB2312"/>
          <w:color w:val="auto"/>
          <w:kern w:val="0"/>
          <w:sz w:val="32"/>
          <w:szCs w:val="32"/>
          <w:lang w:bidi="ar"/>
        </w:rPr>
        <w:t>万元，主要包括基本工资</w:t>
      </w:r>
      <w:r>
        <w:rPr>
          <w:rFonts w:hint="eastAsia" w:ascii="仿宋_GB2312" w:hAnsi="宋体" w:eastAsia="仿宋_GB2312" w:cs="仿宋_GB2312"/>
          <w:color w:val="auto"/>
          <w:kern w:val="0"/>
          <w:sz w:val="32"/>
          <w:szCs w:val="32"/>
          <w:lang w:val="en-US" w:eastAsia="zh-CN" w:bidi="ar"/>
        </w:rPr>
        <w:t>60.58</w:t>
      </w:r>
      <w:r>
        <w:rPr>
          <w:rFonts w:hint="eastAsia" w:ascii="仿宋_GB2312" w:hAnsi="宋体" w:eastAsia="仿宋_GB2312" w:cs="仿宋_GB2312"/>
          <w:color w:val="auto"/>
          <w:kern w:val="0"/>
          <w:sz w:val="32"/>
          <w:szCs w:val="32"/>
          <w:lang w:bidi="ar"/>
        </w:rPr>
        <w:t>万元</w:t>
      </w:r>
      <w:r>
        <w:rPr>
          <w:rFonts w:hint="eastAsia" w:ascii="仿宋_GB2312" w:hAnsi="宋体" w:eastAsia="仿宋_GB2312" w:cs="仿宋_GB2312"/>
          <w:color w:val="auto"/>
          <w:kern w:val="0"/>
          <w:sz w:val="32"/>
          <w:szCs w:val="32"/>
          <w:lang w:eastAsia="zh-CN" w:bidi="ar"/>
        </w:rPr>
        <w:t>、</w:t>
      </w:r>
      <w:r>
        <w:rPr>
          <w:rFonts w:hint="eastAsia" w:ascii="仿宋_GB2312" w:hAnsi="宋体" w:eastAsia="仿宋_GB2312" w:cs="仿宋_GB2312"/>
          <w:color w:val="auto"/>
          <w:kern w:val="0"/>
          <w:sz w:val="32"/>
          <w:szCs w:val="32"/>
          <w:lang w:val="en-US" w:eastAsia="zh-CN" w:bidi="ar"/>
        </w:rPr>
        <w:t>津贴补贴7.16万元、住房公积金4.59万元（金额转换为万元时，因四舍五入存在尾差）</w:t>
      </w:r>
      <w:r>
        <w:rPr>
          <w:rFonts w:hint="eastAsia" w:ascii="仿宋_GB2312" w:hAnsi="宋体" w:eastAsia="仿宋_GB2312" w:cs="仿宋_GB2312"/>
          <w:color w:val="auto"/>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color w:val="auto"/>
          <w:sz w:val="32"/>
          <w:szCs w:val="32"/>
        </w:rPr>
      </w:pPr>
      <w:r>
        <w:rPr>
          <w:rFonts w:ascii="仿宋_GB2312" w:hAnsi="宋体" w:eastAsia="仿宋_GB2312" w:cs="仿宋_GB2312"/>
          <w:b/>
          <w:bCs/>
          <w:color w:val="auto"/>
          <w:kern w:val="0"/>
          <w:sz w:val="32"/>
          <w:szCs w:val="32"/>
          <w:lang w:bidi="ar"/>
        </w:rPr>
        <w:t>公用经费</w:t>
      </w:r>
      <w:r>
        <w:rPr>
          <w:rFonts w:hint="eastAsia" w:ascii="仿宋_GB2312" w:hAnsi="仿宋_GB2312" w:eastAsia="仿宋_GB2312" w:cs="仿宋_GB2312"/>
          <w:color w:val="auto"/>
          <w:kern w:val="0"/>
          <w:sz w:val="32"/>
          <w:szCs w:val="32"/>
          <w:lang w:val="en-US" w:eastAsia="zh-CN" w:bidi="ar"/>
        </w:rPr>
        <w:t>3.29</w:t>
      </w:r>
      <w:r>
        <w:rPr>
          <w:rFonts w:ascii="仿宋_GB2312" w:hAnsi="宋体" w:eastAsia="仿宋_GB2312" w:cs="仿宋_GB2312"/>
          <w:color w:val="auto"/>
          <w:kern w:val="0"/>
          <w:sz w:val="32"/>
          <w:szCs w:val="32"/>
          <w:lang w:bidi="ar"/>
        </w:rPr>
        <w:t>万元，主要包括办公费</w:t>
      </w:r>
      <w:r>
        <w:rPr>
          <w:rFonts w:hint="eastAsia" w:ascii="仿宋_GB2312" w:hAnsi="宋体" w:eastAsia="仿宋_GB2312" w:cs="仿宋_GB2312"/>
          <w:color w:val="auto"/>
          <w:kern w:val="0"/>
          <w:sz w:val="32"/>
          <w:szCs w:val="32"/>
          <w:lang w:val="en-US" w:eastAsia="zh-CN" w:bidi="ar"/>
        </w:rPr>
        <w:t>0.13万元、邮电费0.01万元、差旅费3.15万元</w:t>
      </w:r>
      <w:r>
        <w:rPr>
          <w:rFonts w:hint="eastAsia" w:ascii="仿宋_GB2312" w:hAnsi="宋体" w:eastAsia="仿宋_GB2312" w:cs="仿宋_GB2312"/>
          <w:color w:val="auto"/>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七、一般公共预算财政拨款“三公”经费及会议费、培训费支出决算情况</w:t>
      </w:r>
      <w:r>
        <w:rPr>
          <w:rFonts w:hint="eastAsia" w:ascii="黑体" w:hAnsi="黑体" w:eastAsia="黑体"/>
          <w:color w:val="000000"/>
          <w:kern w:val="0"/>
          <w:sz w:val="32"/>
          <w:szCs w:val="32"/>
          <w:highlight w:val="none"/>
          <w:lang w:eastAsia="zh-CN" w:bidi="ar"/>
        </w:rPr>
        <w:t>说明</w:t>
      </w:r>
      <w:r>
        <w:rPr>
          <w:rFonts w:hint="eastAsia" w:ascii="黑体" w:hAnsi="黑体" w:eastAsia="黑体"/>
          <w:color w:val="000000"/>
          <w:kern w:val="0"/>
          <w:sz w:val="32"/>
          <w:szCs w:val="32"/>
          <w:highlight w:val="none"/>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楷体_GB2312" w:hAnsi="宋体" w:eastAsia="楷体_GB2312" w:cs="楷体_GB2312"/>
          <w:b/>
          <w:color w:val="000000"/>
          <w:kern w:val="0"/>
          <w:sz w:val="32"/>
          <w:szCs w:val="32"/>
          <w:lang w:bidi="ar"/>
        </w:rPr>
      </w:pPr>
      <w:r>
        <w:rPr>
          <w:rFonts w:hint="eastAsia" w:ascii="仿宋_GB2312" w:hAnsi="仿宋_GB2312" w:eastAsia="仿宋_GB2312" w:cs="仿宋_GB2312"/>
          <w:sz w:val="32"/>
          <w:szCs w:val="32"/>
        </w:rPr>
        <w:t>本部门无一般公共预算财政拨款“三公”经费及会议费、培训费支出决算收支，并已公开空表</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八、政府性基金预算财政拨款收入支出情况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本部门无政府性基金决算收支，并已公开空表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本部门无国有资本经营决算拨款收支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十、机关运行经费支出情况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left="617" w:leftChars="294" w:firstLine="0" w:firstLineChars="0"/>
        <w:jc w:val="left"/>
        <w:textAlignment w:val="auto"/>
        <w:rPr>
          <w:rFonts w:hint="eastAsia" w:ascii="仿宋_GB2312" w:hAnsi="宋体"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1"/>
          <w:szCs w:val="31"/>
          <w:highlight w:val="none"/>
          <w:lang w:eastAsia="zh-CN" w:bidi="ar"/>
        </w:rPr>
        <w:t>2020</w:t>
      </w:r>
      <w:r>
        <w:rPr>
          <w:rFonts w:ascii="仿宋_GB2312" w:hAnsi="仿宋_GB2312" w:eastAsia="仿宋_GB2312" w:cs="仿宋_GB2312"/>
          <w:color w:val="000000"/>
          <w:kern w:val="0"/>
          <w:sz w:val="31"/>
          <w:szCs w:val="31"/>
          <w:highlight w:val="none"/>
          <w:lang w:bidi="ar"/>
        </w:rPr>
        <w:t>年机关运行经费</w:t>
      </w:r>
      <w:r>
        <w:rPr>
          <w:rFonts w:ascii="仿宋_GB2312" w:hAnsi="宋体" w:eastAsia="仿宋_GB2312" w:cs="仿宋_GB2312"/>
          <w:color w:val="000000"/>
          <w:kern w:val="0"/>
          <w:sz w:val="32"/>
          <w:szCs w:val="32"/>
          <w:highlight w:val="none"/>
          <w:lang w:bidi="ar"/>
        </w:rPr>
        <w:t>预算为</w:t>
      </w:r>
      <w:r>
        <w:rPr>
          <w:rFonts w:hint="eastAsia" w:ascii="仿宋_GB2312" w:hAnsi="宋体" w:eastAsia="仿宋_GB2312" w:cs="仿宋_GB2312"/>
          <w:color w:val="000000"/>
          <w:kern w:val="0"/>
          <w:sz w:val="32"/>
          <w:szCs w:val="32"/>
          <w:highlight w:val="none"/>
          <w:lang w:val="en-US" w:eastAsia="zh-CN" w:bidi="ar"/>
        </w:rPr>
        <w:t>12.68</w:t>
      </w:r>
      <w:r>
        <w:rPr>
          <w:rFonts w:ascii="仿宋_GB2312" w:hAnsi="宋体" w:eastAsia="仿宋_GB2312" w:cs="仿宋_GB2312"/>
          <w:color w:val="000000"/>
          <w:kern w:val="0"/>
          <w:sz w:val="32"/>
          <w:szCs w:val="32"/>
          <w:highlight w:val="none"/>
          <w:lang w:bidi="ar"/>
        </w:rPr>
        <w:t>万元</w:t>
      </w:r>
      <w:r>
        <w:rPr>
          <w:rFonts w:ascii="仿宋_GB2312" w:hAnsi="宋体" w:eastAsia="仿宋_GB2312" w:cs="仿宋_GB2312"/>
          <w:color w:val="000000"/>
          <w:kern w:val="0"/>
          <w:sz w:val="32"/>
          <w:szCs w:val="32"/>
          <w:highlight w:val="none"/>
          <w:lang w:bidi="ar"/>
        </w:rPr>
        <w:t>，支出决算</w:t>
      </w:r>
      <w:r>
        <w:rPr>
          <w:rFonts w:hint="eastAsia" w:ascii="仿宋_GB2312" w:hAnsi="宋体" w:eastAsia="仿宋_GB2312" w:cs="仿宋_GB2312"/>
          <w:color w:val="000000"/>
          <w:kern w:val="0"/>
          <w:sz w:val="32"/>
          <w:szCs w:val="32"/>
          <w:highlight w:val="none"/>
          <w:lang w:val="en-US" w:eastAsia="zh-CN" w:bidi="ar"/>
        </w:rPr>
        <w:t>3.29</w:t>
      </w: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宋体" w:eastAsia="仿宋_GB2312" w:cs="仿宋_GB2312"/>
          <w:color w:val="000000"/>
          <w:kern w:val="0"/>
          <w:sz w:val="32"/>
          <w:szCs w:val="32"/>
          <w:highlight w:val="none"/>
          <w:lang w:bidi="ar"/>
        </w:rPr>
      </w:pPr>
      <w:r>
        <w:rPr>
          <w:rFonts w:ascii="仿宋_GB2312" w:hAnsi="宋体" w:eastAsia="仿宋_GB2312" w:cs="仿宋_GB2312"/>
          <w:color w:val="000000"/>
          <w:kern w:val="0"/>
          <w:sz w:val="32"/>
          <w:szCs w:val="32"/>
          <w:highlight w:val="none"/>
          <w:lang w:bidi="ar"/>
        </w:rPr>
        <w:t>万元，完成预算的</w:t>
      </w:r>
      <w:r>
        <w:rPr>
          <w:rFonts w:hint="eastAsia" w:ascii="仿宋_GB2312" w:hAnsi="宋体" w:eastAsia="仿宋_GB2312" w:cs="仿宋_GB2312"/>
          <w:color w:val="000000"/>
          <w:kern w:val="0"/>
          <w:sz w:val="32"/>
          <w:szCs w:val="32"/>
          <w:highlight w:val="none"/>
          <w:lang w:val="en-US" w:eastAsia="zh-CN" w:bidi="ar"/>
        </w:rPr>
        <w:t>25.95</w:t>
      </w:r>
      <w:r>
        <w:rPr>
          <w:rFonts w:ascii="仿宋_GB2312" w:hAnsi="宋体" w:eastAsia="仿宋_GB2312" w:cs="仿宋_GB2312"/>
          <w:color w:val="000000"/>
          <w:kern w:val="0"/>
          <w:sz w:val="32"/>
          <w:szCs w:val="32"/>
          <w:highlight w:val="none"/>
          <w:lang w:bidi="ar"/>
        </w:rPr>
        <w:t>%。决算数</w:t>
      </w:r>
      <w:r>
        <w:rPr>
          <w:rFonts w:hint="eastAsia" w:ascii="仿宋_GB2312" w:hAnsi="宋体" w:eastAsia="仿宋_GB2312" w:cs="仿宋_GB2312"/>
          <w:color w:val="000000"/>
          <w:kern w:val="0"/>
          <w:sz w:val="32"/>
          <w:szCs w:val="32"/>
          <w:highlight w:val="none"/>
          <w:lang w:bidi="ar"/>
        </w:rPr>
        <w:t>较</w:t>
      </w:r>
      <w:r>
        <w:rPr>
          <w:rFonts w:ascii="仿宋_GB2312" w:hAnsi="宋体" w:eastAsia="仿宋_GB2312" w:cs="仿宋_GB2312"/>
          <w:color w:val="000000"/>
          <w:kern w:val="0"/>
          <w:sz w:val="32"/>
          <w:szCs w:val="32"/>
          <w:highlight w:val="none"/>
          <w:lang w:bidi="ar"/>
        </w:rPr>
        <w:t>预算数</w:t>
      </w:r>
      <w:r>
        <w:rPr>
          <w:rFonts w:hint="eastAsia" w:ascii="仿宋_GB2312" w:hAnsi="宋体" w:eastAsia="仿宋_GB2312" w:cs="仿宋_GB2312"/>
          <w:color w:val="000000"/>
          <w:kern w:val="0"/>
          <w:sz w:val="32"/>
          <w:szCs w:val="32"/>
          <w:highlight w:val="none"/>
          <w:lang w:bidi="ar"/>
        </w:rPr>
        <w:t>减少</w:t>
      </w:r>
      <w:r>
        <w:rPr>
          <w:rFonts w:hint="eastAsia" w:ascii="仿宋_GB2312" w:hAnsi="宋体" w:eastAsia="仿宋_GB2312" w:cs="仿宋_GB2312"/>
          <w:color w:val="000000"/>
          <w:kern w:val="0"/>
          <w:sz w:val="32"/>
          <w:szCs w:val="32"/>
          <w:highlight w:val="none"/>
          <w:lang w:val="en-US" w:eastAsia="zh-CN" w:bidi="ar"/>
        </w:rPr>
        <w:t>9.39</w:t>
      </w:r>
      <w:r>
        <w:rPr>
          <w:rFonts w:hint="eastAsia" w:ascii="仿宋_GB2312" w:hAnsi="宋体" w:eastAsia="仿宋_GB2312" w:cs="仿宋_GB2312"/>
          <w:color w:val="000000"/>
          <w:kern w:val="0"/>
          <w:sz w:val="32"/>
          <w:szCs w:val="32"/>
          <w:highlight w:val="none"/>
          <w:lang w:bidi="ar"/>
        </w:rPr>
        <w:t>万元，</w:t>
      </w:r>
      <w:r>
        <w:rPr>
          <w:rFonts w:ascii="仿宋_GB2312" w:hAnsi="宋体" w:eastAsia="仿宋_GB2312" w:cs="仿宋_GB2312"/>
          <w:color w:val="000000"/>
          <w:kern w:val="0"/>
          <w:sz w:val="32"/>
          <w:szCs w:val="32"/>
          <w:highlight w:val="none"/>
          <w:lang w:bidi="ar"/>
        </w:rPr>
        <w:t>主要原因是</w:t>
      </w:r>
      <w:r>
        <w:rPr>
          <w:rFonts w:hint="eastAsia" w:ascii="仿宋_GB2312" w:hAnsi="宋体" w:eastAsia="仿宋_GB2312" w:cs="仿宋_GB2312"/>
          <w:color w:val="000000"/>
          <w:kern w:val="0"/>
          <w:sz w:val="32"/>
          <w:szCs w:val="32"/>
          <w:highlight w:val="none"/>
          <w:lang w:val="en-US" w:eastAsia="zh-CN" w:bidi="ar"/>
        </w:rPr>
        <w:t>我部门</w:t>
      </w:r>
      <w:r>
        <w:rPr>
          <w:rFonts w:hint="eastAsia" w:ascii="仿宋_GB2312" w:hAnsi="宋体" w:eastAsia="仿宋_GB2312" w:cs="仿宋_GB2312"/>
          <w:color w:val="000000"/>
          <w:kern w:val="0"/>
          <w:sz w:val="32"/>
          <w:szCs w:val="32"/>
          <w:highlight w:val="none"/>
          <w:lang w:bidi="ar"/>
        </w:rPr>
        <w:t>认真贯彻落实中央八项规定精神</w:t>
      </w:r>
      <w:r>
        <w:rPr>
          <w:rFonts w:hint="eastAsia" w:ascii="仿宋_GB2312" w:hAnsi="宋体" w:eastAsia="仿宋_GB2312" w:cs="仿宋_GB2312"/>
          <w:color w:val="000000"/>
          <w:kern w:val="0"/>
          <w:sz w:val="32"/>
          <w:szCs w:val="32"/>
          <w:highlight w:val="none"/>
          <w:lang w:eastAsia="zh-CN" w:bidi="ar"/>
        </w:rPr>
        <w:t>、</w:t>
      </w:r>
      <w:r>
        <w:rPr>
          <w:rFonts w:hint="eastAsia" w:ascii="仿宋_GB2312" w:hAnsi="宋体" w:eastAsia="仿宋_GB2312" w:cs="仿宋_GB2312"/>
          <w:color w:val="000000"/>
          <w:kern w:val="0"/>
          <w:sz w:val="32"/>
          <w:szCs w:val="32"/>
          <w:highlight w:val="none"/>
          <w:lang w:bidi="ar"/>
        </w:rPr>
        <w:t>厉行节约</w:t>
      </w:r>
      <w:r>
        <w:rPr>
          <w:rFonts w:hint="eastAsia" w:ascii="仿宋_GB2312" w:hAnsi="宋体" w:eastAsia="仿宋_GB2312" w:cs="仿宋_GB2312"/>
          <w:color w:val="000000"/>
          <w:kern w:val="0"/>
          <w:sz w:val="32"/>
          <w:szCs w:val="32"/>
          <w:highlight w:val="none"/>
          <w:lang w:val="en-US" w:eastAsia="zh-CN" w:bidi="ar"/>
        </w:rPr>
        <w:t>和过“紧日子”的</w:t>
      </w:r>
      <w:r>
        <w:rPr>
          <w:rFonts w:hint="eastAsia" w:ascii="仿宋_GB2312" w:hAnsi="宋体" w:eastAsia="仿宋_GB2312" w:cs="仿宋_GB2312"/>
          <w:color w:val="000000"/>
          <w:kern w:val="0"/>
          <w:sz w:val="32"/>
          <w:szCs w:val="32"/>
          <w:highlight w:val="none"/>
          <w:lang w:bidi="ar"/>
        </w:rPr>
        <w:t>要求，从严控制</w:t>
      </w:r>
      <w:r>
        <w:rPr>
          <w:rFonts w:hint="eastAsia" w:ascii="仿宋_GB2312" w:hAnsi="宋体" w:eastAsia="仿宋_GB2312" w:cs="仿宋_GB2312"/>
          <w:color w:val="000000"/>
          <w:kern w:val="0"/>
          <w:sz w:val="32"/>
          <w:szCs w:val="32"/>
          <w:highlight w:val="none"/>
          <w:lang w:val="en-US" w:eastAsia="zh-CN" w:bidi="ar"/>
        </w:rPr>
        <w:t>机关运行</w:t>
      </w:r>
      <w:r>
        <w:rPr>
          <w:rFonts w:hint="eastAsia" w:ascii="仿宋_GB2312" w:hAnsi="宋体" w:eastAsia="仿宋_GB2312" w:cs="仿宋_GB2312"/>
          <w:color w:val="000000"/>
          <w:kern w:val="0"/>
          <w:sz w:val="32"/>
          <w:szCs w:val="32"/>
          <w:highlight w:val="none"/>
          <w:lang w:bidi="ar"/>
        </w:rPr>
        <w:t>经费开支。</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十一、</w:t>
      </w:r>
      <w:r>
        <w:rPr>
          <w:rFonts w:hint="eastAsia" w:ascii="黑体" w:hAnsi="黑体" w:eastAsia="黑体"/>
          <w:color w:val="000000"/>
          <w:kern w:val="0"/>
          <w:sz w:val="32"/>
          <w:szCs w:val="32"/>
          <w:lang w:bidi="ar"/>
        </w:rPr>
        <w:t>政府采购支出情况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年无政府采购支出</w:t>
      </w:r>
    </w:p>
    <w:p>
      <w:pPr>
        <w:keepNext w:val="0"/>
        <w:keepLines w:val="0"/>
        <w:pageBreakBefore w:val="0"/>
        <w:widowControl/>
        <w:numPr>
          <w:ilvl w:val="0"/>
          <w:numId w:val="2"/>
        </w:numPr>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eastAsia="zh-CN" w:bidi="ar"/>
        </w:rPr>
      </w:pPr>
      <w:r>
        <w:rPr>
          <w:rFonts w:hint="eastAsia" w:ascii="黑体" w:hAnsi="黑体" w:eastAsia="黑体"/>
          <w:color w:val="000000"/>
          <w:kern w:val="0"/>
          <w:sz w:val="32"/>
          <w:szCs w:val="32"/>
          <w:lang w:bidi="ar"/>
        </w:rPr>
        <w:t>国有资产占用及购置情况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年末，本部门</w:t>
      </w:r>
      <w:r>
        <w:rPr>
          <w:rFonts w:hint="eastAsia" w:ascii="仿宋_GB2312" w:hAnsi="仿宋_GB2312" w:eastAsia="仿宋_GB2312" w:cs="仿宋_GB2312"/>
          <w:sz w:val="32"/>
          <w:szCs w:val="32"/>
          <w:lang w:eastAsia="zh-CN"/>
        </w:rPr>
        <w:t>无车辆等国有资产，无购置国有资产。</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eastAsia="zh-CN" w:bidi="ar"/>
        </w:rPr>
        <w:t>十三、</w:t>
      </w:r>
      <w:r>
        <w:rPr>
          <w:rFonts w:hint="eastAsia" w:ascii="黑体" w:hAnsi="黑体" w:eastAsia="黑体"/>
          <w:color w:val="000000"/>
          <w:kern w:val="0"/>
          <w:sz w:val="32"/>
          <w:szCs w:val="32"/>
          <w:highlight w:val="none"/>
          <w:lang w:bidi="ar"/>
        </w:rPr>
        <w:t>预算绩效情况</w:t>
      </w:r>
      <w:r>
        <w:rPr>
          <w:rFonts w:hint="eastAsia" w:ascii="黑体" w:hAnsi="黑体" w:eastAsia="黑体"/>
          <w:color w:val="000000"/>
          <w:kern w:val="0"/>
          <w:sz w:val="32"/>
          <w:szCs w:val="32"/>
          <w:highlight w:val="none"/>
          <w:lang w:eastAsia="zh-CN" w:bidi="ar"/>
        </w:rPr>
        <w:t>说明</w:t>
      </w:r>
    </w:p>
    <w:p>
      <w:pPr>
        <w:keepNext w:val="0"/>
        <w:keepLines w:val="0"/>
        <w:pageBreakBefore w:val="0"/>
        <w:widowControl/>
        <w:kinsoku/>
        <w:wordWrap/>
        <w:overflowPunct/>
        <w:topLinePunct w:val="0"/>
        <w:autoSpaceDE/>
        <w:autoSpaceDN/>
        <w:bidi w:val="0"/>
        <w:spacing w:line="560" w:lineRule="exact"/>
        <w:ind w:left="1281" w:leftChars="304" w:hanging="643" w:hanging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highlight w:val="none"/>
          <w:lang w:eastAsia="zh-CN"/>
        </w:rPr>
      </w:pPr>
      <w:r>
        <w:rPr>
          <w:rFonts w:hint="eastAsia" w:ascii="仿宋_GB2312" w:hAnsi="仿宋_GB2312" w:eastAsia="仿宋_GB2312" w:cs="仿宋_GB2312"/>
          <w:color w:val="auto"/>
          <w:kern w:val="0"/>
          <w:sz w:val="32"/>
          <w:szCs w:val="32"/>
          <w:highlight w:val="none"/>
          <w:lang w:val="en-US" w:eastAsia="zh-CN" w:bidi="ar"/>
        </w:rPr>
        <w:t>根据预算绩效管理要求，本部门组织对 2020年一般公共预算项目支出全面开展绩效自评，其中，一级项目0个，二级项目0个，共涉及资金0万元，占用一般公共预算项目支出总额的0%。本部门无政府性基金决算收支，无政府性基金预算项目支出绩效评价。</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szCs w:val="32"/>
          <w:lang w:val="en-US" w:eastAsia="zh-CN"/>
        </w:rPr>
      </w:pPr>
      <w:r>
        <w:rPr>
          <w:rFonts w:hint="eastAsia" w:ascii="仿宋" w:hAnsi="仿宋" w:eastAsia="仿宋" w:cs="仿宋"/>
          <w:sz w:val="32"/>
          <w:szCs w:val="40"/>
          <w:lang w:val="en-US" w:eastAsia="zh-CN"/>
        </w:rPr>
        <w:t>本部门在省级部门决算中未发生一级项目，所以无相应的绩效自评结果。</w:t>
      </w:r>
    </w:p>
    <w:p>
      <w:pPr>
        <w:ind w:firstLine="643" w:firstLineChars="200"/>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（三）部门整体支出绩效自评结果。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瀹嬩綋" w:hAnsi="瀹嬩綋" w:eastAsia="瀹嬩綋" w:cs="瀹嬩綋"/>
          <w:i w:val="0"/>
          <w:caps w:val="0"/>
          <w:color w:val="000000"/>
          <w:spacing w:val="0"/>
          <w:sz w:val="21"/>
          <w:szCs w:val="21"/>
          <w:highlight w:val="none"/>
        </w:rPr>
      </w:pPr>
      <w:r>
        <w:rPr>
          <w:rFonts w:hint="eastAsia" w:ascii="仿宋" w:hAnsi="仿宋" w:eastAsia="仿宋" w:cs="仿宋"/>
          <w:sz w:val="32"/>
          <w:szCs w:val="40"/>
          <w:highlight w:val="none"/>
          <w:lang w:val="en-US" w:eastAsia="zh-CN"/>
        </w:rPr>
        <w:t>根据部门整体支出绩效自评指标体系，本部门自评得分90分。部门整体支出全年预算数194.02万元，执行数</w:t>
      </w:r>
      <w:r>
        <w:rPr>
          <w:rFonts w:hint="eastAsia" w:ascii="仿宋_GB2312" w:hAnsi="仿宋_GB2312" w:eastAsia="仿宋_GB2312" w:cs="仿宋_GB2312"/>
          <w:color w:val="auto"/>
          <w:sz w:val="32"/>
          <w:highlight w:val="none"/>
          <w:lang w:val="en-US" w:eastAsia="zh-CN"/>
        </w:rPr>
        <w:t>75.62</w:t>
      </w:r>
      <w:r>
        <w:rPr>
          <w:rFonts w:hint="eastAsia" w:ascii="仿宋" w:hAnsi="仿宋" w:eastAsia="仿宋" w:cs="仿宋"/>
          <w:sz w:val="32"/>
          <w:szCs w:val="40"/>
          <w:highlight w:val="none"/>
          <w:lang w:val="en-US" w:eastAsia="zh-CN"/>
        </w:rPr>
        <w:t>万元，完成预算的38.98%。</w:t>
      </w:r>
      <w:r>
        <w:rPr>
          <w:rFonts w:hint="eastAsia" w:ascii="仿宋" w:hAnsi="仿宋" w:eastAsia="仿宋" w:cs="仿宋"/>
          <w:sz w:val="32"/>
          <w:szCs w:val="40"/>
          <w:highlight w:val="none"/>
          <w:lang w:val="en-US" w:eastAsia="zh-CN"/>
        </w:rPr>
        <w:t>2020</w:t>
      </w:r>
      <w:r>
        <w:rPr>
          <w:rFonts w:hint="default" w:ascii="仿宋" w:hAnsi="仿宋" w:eastAsia="仿宋" w:cs="仿宋"/>
          <w:sz w:val="32"/>
          <w:szCs w:val="40"/>
          <w:highlight w:val="none"/>
          <w:lang w:val="en-US" w:eastAsia="zh-CN"/>
        </w:rPr>
        <w:t>年，根据本</w:t>
      </w:r>
      <w:r>
        <w:rPr>
          <w:rFonts w:hint="eastAsia" w:ascii="仿宋" w:hAnsi="仿宋" w:eastAsia="仿宋" w:cs="仿宋"/>
          <w:sz w:val="32"/>
          <w:szCs w:val="40"/>
          <w:highlight w:val="none"/>
          <w:lang w:val="en-US" w:eastAsia="zh-CN"/>
        </w:rPr>
        <w:t>部门</w:t>
      </w:r>
      <w:r>
        <w:rPr>
          <w:rFonts w:hint="default" w:ascii="仿宋" w:hAnsi="仿宋" w:eastAsia="仿宋" w:cs="仿宋"/>
          <w:sz w:val="32"/>
          <w:szCs w:val="40"/>
          <w:highlight w:val="none"/>
          <w:lang w:val="en-US" w:eastAsia="zh-CN"/>
        </w:rPr>
        <w:t>年初工作规划和重点工作，围绕</w:t>
      </w:r>
      <w:r>
        <w:rPr>
          <w:rFonts w:hint="eastAsia" w:ascii="仿宋" w:hAnsi="仿宋" w:eastAsia="仿宋" w:cs="仿宋"/>
          <w:sz w:val="32"/>
          <w:szCs w:val="40"/>
          <w:highlight w:val="none"/>
          <w:lang w:val="en-US" w:eastAsia="zh-CN"/>
        </w:rPr>
        <w:t>省</w:t>
      </w:r>
      <w:r>
        <w:rPr>
          <w:rFonts w:hint="default" w:ascii="仿宋" w:hAnsi="仿宋" w:eastAsia="仿宋" w:cs="仿宋"/>
          <w:sz w:val="32"/>
          <w:szCs w:val="40"/>
          <w:highlight w:val="none"/>
          <w:lang w:val="en-US" w:eastAsia="zh-CN"/>
        </w:rPr>
        <w:t>委、</w:t>
      </w:r>
      <w:r>
        <w:rPr>
          <w:rFonts w:hint="eastAsia" w:ascii="仿宋" w:hAnsi="仿宋" w:eastAsia="仿宋" w:cs="仿宋"/>
          <w:sz w:val="32"/>
          <w:szCs w:val="40"/>
          <w:highlight w:val="none"/>
          <w:lang w:val="en-US" w:eastAsia="zh-CN"/>
        </w:rPr>
        <w:t>省</w:t>
      </w:r>
      <w:r>
        <w:rPr>
          <w:rFonts w:hint="default" w:ascii="仿宋" w:hAnsi="仿宋" w:eastAsia="仿宋" w:cs="仿宋"/>
          <w:sz w:val="32"/>
          <w:szCs w:val="40"/>
          <w:highlight w:val="none"/>
          <w:lang w:val="en-US" w:eastAsia="zh-CN"/>
        </w:rPr>
        <w:t>政府以及省</w:t>
      </w:r>
      <w:r>
        <w:rPr>
          <w:rFonts w:hint="eastAsia" w:ascii="仿宋" w:hAnsi="仿宋" w:eastAsia="仿宋" w:cs="仿宋"/>
          <w:sz w:val="32"/>
          <w:szCs w:val="40"/>
          <w:highlight w:val="none"/>
          <w:lang w:val="en-US" w:eastAsia="zh-CN"/>
        </w:rPr>
        <w:t>总</w:t>
      </w:r>
      <w:r>
        <w:rPr>
          <w:rFonts w:hint="default" w:ascii="仿宋" w:hAnsi="仿宋" w:eastAsia="仿宋" w:cs="仿宋"/>
          <w:sz w:val="32"/>
          <w:szCs w:val="40"/>
          <w:highlight w:val="none"/>
          <w:lang w:val="en-US" w:eastAsia="zh-CN"/>
        </w:rPr>
        <w:t>的工作部署，积极履行职责，强化管理，较好地完成了年度工作目标，同时加强预算收支的管理，建立健全内部管理制度，严格内部管理流程，单位整体支出管理得到了提升。</w:t>
      </w:r>
      <w:r>
        <w:rPr>
          <w:rFonts w:hint="eastAsia" w:ascii="仿宋" w:hAnsi="仿宋" w:eastAsia="仿宋" w:cs="仿宋"/>
          <w:sz w:val="32"/>
          <w:szCs w:val="40"/>
          <w:highlight w:val="none"/>
          <w:lang w:val="en-US" w:eastAsia="zh-CN"/>
        </w:rPr>
        <w:t>发现的问题及原因：</w:t>
      </w:r>
      <w:r>
        <w:rPr>
          <w:rFonts w:hint="default" w:ascii="仿宋" w:hAnsi="仿宋" w:eastAsia="仿宋" w:cs="仿宋"/>
          <w:sz w:val="32"/>
          <w:szCs w:val="40"/>
          <w:highlight w:val="none"/>
          <w:lang w:val="en-US" w:eastAsia="zh-CN"/>
        </w:rPr>
        <w:t>预算编制有待更严格执行。预算编制与实际支出项目有的仍存在差异。</w:t>
      </w:r>
      <w:r>
        <w:rPr>
          <w:rFonts w:hint="eastAsia" w:ascii="仿宋" w:hAnsi="仿宋" w:eastAsia="仿宋" w:cs="仿宋"/>
          <w:sz w:val="32"/>
          <w:szCs w:val="40"/>
          <w:highlight w:val="none"/>
          <w:lang w:val="en-US" w:eastAsia="zh-CN"/>
        </w:rPr>
        <w:t>下一步改进措施：</w:t>
      </w:r>
      <w:r>
        <w:rPr>
          <w:rFonts w:hint="default" w:ascii="仿宋" w:hAnsi="仿宋" w:eastAsia="仿宋" w:cs="仿宋"/>
          <w:sz w:val="32"/>
          <w:szCs w:val="40"/>
          <w:highlight w:val="none"/>
          <w:lang w:val="en-US" w:eastAsia="zh-CN"/>
        </w:rPr>
        <w:t>一是按照预算规定的项目和用途严格财务审核，经费支出严格按预算规定项目的财务支出内容进行财务核算，在预算金额内严格控制费用的支出。二是预算财务分析常态化，定期做好预算支出财务分析，做好单位整体支出预算评价工作。</w:t>
      </w: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jc w:val="center"/>
        <w:rPr>
          <w:rFonts w:hint="eastAsia" w:ascii="方正小标宋简体" w:hAnsi="方正小标宋简体" w:eastAsia="方正小标宋简体" w:cs="方正小标宋简体"/>
          <w:sz w:val="44"/>
          <w:szCs w:val="44"/>
        </w:rPr>
      </w:pPr>
      <w:r>
        <w:rPr>
          <w:rFonts w:hint="eastAsia" w:ascii="楷体" w:hAnsi="楷体" w:eastAsia="楷体" w:cs="楷体"/>
          <w:sz w:val="32"/>
          <w:szCs w:val="32"/>
          <w:lang w:eastAsia="zh-CN"/>
        </w:rPr>
        <w:object>
          <v:shape id="_x0000_i1025" o:spt="75" alt="" type="#_x0000_t75" style="height:695.5pt;width:451.9pt;" o:ole="t" filled="f" o:preferrelative="t" stroked="f" coordsize="21600,21600">
            <v:path/>
            <v:fill on="f" focussize="0,0"/>
            <v:stroke on="f"/>
            <v:imagedata r:id="rId15" o:title=""/>
            <o:lock v:ext="edit" aspectratio="t"/>
            <w10:wrap type="none"/>
            <w10:anchorlock/>
          </v:shape>
          <o:OLEObject Type="Embed" ProgID="Excel.Sheet.12" ShapeID="_x0000_i1025" DrawAspect="Content" ObjectID="_1468075725" r:id="rId14">
            <o:LockedField>false</o:LockedField>
          </o:OLEObject>
        </w:object>
      </w:r>
      <w:bookmarkStart w:id="0" w:name="_GoBack"/>
      <w:bookmarkEnd w:id="0"/>
      <w:r>
        <w:rPr>
          <w:rFonts w:hint="eastAsia" w:ascii="方正小标宋简体" w:hAnsi="方正小标宋简体" w:eastAsia="方正小标宋简体" w:cs="方正小标宋简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sectPr>
      <w:footerReference r:id="rId4" w:type="default"/>
      <w:pgSz w:w="11906" w:h="16838"/>
      <w:pgMar w:top="2098" w:right="1474" w:bottom="1984" w:left="1587" w:header="851" w:footer="992" w:gutter="0"/>
      <w:pgNumType w:fmt="decimal"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modern"/>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瀹嬩綋">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10002FF" w:usb1="4000FCFF" w:usb2="00000009" w:usb3="00000000" w:csb0="6000019F" w:csb1="DFD70000"/>
  </w:font>
  <w:font w:name="Arial Unicode MS">
    <w:altName w:val="宋体"/>
    <w:panose1 w:val="020B0604020202020204"/>
    <w:charset w:val="86"/>
    <w:family w:val="auto"/>
    <w:pitch w:val="default"/>
    <w:sig w:usb0="00000000" w:usb1="00000000" w:usb2="0000003F" w:usb3="00000000" w:csb0="603F01FF" w:csb1="FFFF0000"/>
  </w:font>
  <w:font w:name="汉仪旗黑-55简">
    <w:altName w:val="黑体"/>
    <w:panose1 w:val="0002060004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60288;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5AXD62AAAAAgB&#10;AAAPAAAAAAAAAAEAIAAAACIAAABkcnMvZG93bnJldi54bWxQSwECFAAUAAAACACHTuJA3QP4kBsC&#10;AAATBAAADgAAAAAAAAABACAAAAAnAQAAZHJzL2Uyb0RvYy54bWxQSwUGAAAAAAYABgBZAQAAtAUA&#10;AAAA&#10;">
              <v:fill on="f" focussize="0,0"/>
              <v:stroke on="f" weight="0.5pt"/>
              <v:imagedata o:title=""/>
              <o:lock v:ext="edit" aspectratio="f"/>
              <v:textbox inset="0mm,0mm,0mm,0mm">
                <w:txbxContent>
                  <w:p>
                    <w:pPr>
                      <w:pStyle w:val="7"/>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59E29C"/>
    <w:multiLevelType w:val="singleLevel"/>
    <w:tmpl w:val="E559E29C"/>
    <w:lvl w:ilvl="0" w:tentative="0">
      <w:start w:val="2"/>
      <w:numFmt w:val="chineseCounting"/>
      <w:suff w:val="nothing"/>
      <w:lvlText w:val="%1、"/>
      <w:lvlJc w:val="left"/>
      <w:rPr>
        <w:rFonts w:hint="eastAsia"/>
      </w:rPr>
    </w:lvl>
  </w:abstractNum>
  <w:abstractNum w:abstractNumId="1">
    <w:nsid w:val="4A0CDB52"/>
    <w:multiLevelType w:val="singleLevel"/>
    <w:tmpl w:val="4A0CDB52"/>
    <w:lvl w:ilvl="0" w:tentative="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AA6038"/>
    <w:rsid w:val="00050E89"/>
    <w:rsid w:val="00146787"/>
    <w:rsid w:val="00164001"/>
    <w:rsid w:val="001D7568"/>
    <w:rsid w:val="002424C8"/>
    <w:rsid w:val="002A7893"/>
    <w:rsid w:val="003364E9"/>
    <w:rsid w:val="00452E2E"/>
    <w:rsid w:val="004B6D6E"/>
    <w:rsid w:val="00813F4A"/>
    <w:rsid w:val="00B80654"/>
    <w:rsid w:val="00E8111E"/>
    <w:rsid w:val="013B79AC"/>
    <w:rsid w:val="01BE4C9B"/>
    <w:rsid w:val="04CF0E33"/>
    <w:rsid w:val="06C06B3A"/>
    <w:rsid w:val="07EA5A4D"/>
    <w:rsid w:val="0811163F"/>
    <w:rsid w:val="08E42EAC"/>
    <w:rsid w:val="0C114008"/>
    <w:rsid w:val="0FF80CC3"/>
    <w:rsid w:val="10BB651B"/>
    <w:rsid w:val="10E96E16"/>
    <w:rsid w:val="118F1514"/>
    <w:rsid w:val="125E2600"/>
    <w:rsid w:val="12FE623D"/>
    <w:rsid w:val="132E46A0"/>
    <w:rsid w:val="134C6B85"/>
    <w:rsid w:val="135556F4"/>
    <w:rsid w:val="13754AC9"/>
    <w:rsid w:val="14411117"/>
    <w:rsid w:val="1586116E"/>
    <w:rsid w:val="167C0AB6"/>
    <w:rsid w:val="18BB4AD7"/>
    <w:rsid w:val="18F65A30"/>
    <w:rsid w:val="1B4A3FDA"/>
    <w:rsid w:val="1B524C98"/>
    <w:rsid w:val="1C5E2F73"/>
    <w:rsid w:val="1D6E0C0D"/>
    <w:rsid w:val="1DC14E0F"/>
    <w:rsid w:val="1EF768A5"/>
    <w:rsid w:val="206244FD"/>
    <w:rsid w:val="20EF4457"/>
    <w:rsid w:val="221C15BB"/>
    <w:rsid w:val="232226E9"/>
    <w:rsid w:val="232433AC"/>
    <w:rsid w:val="234C08AF"/>
    <w:rsid w:val="23E4344C"/>
    <w:rsid w:val="25E172F5"/>
    <w:rsid w:val="269D1E34"/>
    <w:rsid w:val="27122A7F"/>
    <w:rsid w:val="28F13D66"/>
    <w:rsid w:val="29785A6B"/>
    <w:rsid w:val="2A2F07B3"/>
    <w:rsid w:val="2A5103A8"/>
    <w:rsid w:val="2A90659A"/>
    <w:rsid w:val="2B547244"/>
    <w:rsid w:val="2C4779D6"/>
    <w:rsid w:val="2CEB4C64"/>
    <w:rsid w:val="2D1F3974"/>
    <w:rsid w:val="2D657953"/>
    <w:rsid w:val="2DB52EF2"/>
    <w:rsid w:val="318C1BE0"/>
    <w:rsid w:val="31AA6038"/>
    <w:rsid w:val="32281671"/>
    <w:rsid w:val="32C54999"/>
    <w:rsid w:val="33887EE3"/>
    <w:rsid w:val="34677C61"/>
    <w:rsid w:val="359E0D4A"/>
    <w:rsid w:val="36122CB4"/>
    <w:rsid w:val="36DA3B18"/>
    <w:rsid w:val="37263392"/>
    <w:rsid w:val="376F5C46"/>
    <w:rsid w:val="39F41BD5"/>
    <w:rsid w:val="3A5D3EC5"/>
    <w:rsid w:val="3B121AD1"/>
    <w:rsid w:val="3C0D61D4"/>
    <w:rsid w:val="3CE6468F"/>
    <w:rsid w:val="3CFD0D2E"/>
    <w:rsid w:val="3D2A1E88"/>
    <w:rsid w:val="3F591B08"/>
    <w:rsid w:val="3FC62CFB"/>
    <w:rsid w:val="41603979"/>
    <w:rsid w:val="41CF436B"/>
    <w:rsid w:val="428D5AE5"/>
    <w:rsid w:val="443B2E6C"/>
    <w:rsid w:val="4619368A"/>
    <w:rsid w:val="465C3DD6"/>
    <w:rsid w:val="49854D3F"/>
    <w:rsid w:val="49A229B8"/>
    <w:rsid w:val="4A2B7764"/>
    <w:rsid w:val="4BFE6B7B"/>
    <w:rsid w:val="4D6E0FDF"/>
    <w:rsid w:val="4EE4307A"/>
    <w:rsid w:val="50D01A70"/>
    <w:rsid w:val="5153143F"/>
    <w:rsid w:val="519F31D2"/>
    <w:rsid w:val="53467F70"/>
    <w:rsid w:val="53CE3F8A"/>
    <w:rsid w:val="546E29E0"/>
    <w:rsid w:val="54F12DEE"/>
    <w:rsid w:val="55147C14"/>
    <w:rsid w:val="564E133D"/>
    <w:rsid w:val="56D74010"/>
    <w:rsid w:val="59660C08"/>
    <w:rsid w:val="5B4A5013"/>
    <w:rsid w:val="5B8D564A"/>
    <w:rsid w:val="5BF549CC"/>
    <w:rsid w:val="5C0352AD"/>
    <w:rsid w:val="5CE100E3"/>
    <w:rsid w:val="5D471D00"/>
    <w:rsid w:val="5ECB53FC"/>
    <w:rsid w:val="60526BBD"/>
    <w:rsid w:val="60C47968"/>
    <w:rsid w:val="625D30F9"/>
    <w:rsid w:val="65074FBA"/>
    <w:rsid w:val="65E46C4B"/>
    <w:rsid w:val="66377D5A"/>
    <w:rsid w:val="676D3A1A"/>
    <w:rsid w:val="6D980D19"/>
    <w:rsid w:val="6F951AE8"/>
    <w:rsid w:val="709E37EA"/>
    <w:rsid w:val="71086DB5"/>
    <w:rsid w:val="73441462"/>
    <w:rsid w:val="754F4216"/>
    <w:rsid w:val="75C31473"/>
    <w:rsid w:val="763B2EA0"/>
    <w:rsid w:val="76675743"/>
    <w:rsid w:val="773B1EE5"/>
    <w:rsid w:val="7A906D45"/>
    <w:rsid w:val="7C3E5E46"/>
    <w:rsid w:val="7EE759C2"/>
    <w:rsid w:val="7F37257F"/>
    <w:rsid w:val="7FA60A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等线" w:hAnsi="等线" w:eastAsia="等线" w:cs="Times New Roman"/>
      <w:szCs w:val="22"/>
    </w:r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annotation subject"/>
    <w:basedOn w:val="5"/>
    <w:next w:val="5"/>
    <w:link w:val="14"/>
    <w:qFormat/>
    <w:uiPriority w:val="0"/>
    <w:rPr>
      <w:b/>
      <w:bCs/>
    </w:rPr>
  </w:style>
  <w:style w:type="paragraph" w:styleId="5">
    <w:name w:val="annotation text"/>
    <w:basedOn w:val="1"/>
    <w:link w:val="13"/>
    <w:qFormat/>
    <w:uiPriority w:val="0"/>
    <w:pPr>
      <w:jc w:val="left"/>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annotation reference"/>
    <w:basedOn w:val="9"/>
    <w:qFormat/>
    <w:uiPriority w:val="0"/>
    <w:rPr>
      <w:sz w:val="21"/>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批注文字 字符"/>
    <w:basedOn w:val="9"/>
    <w:link w:val="5"/>
    <w:qFormat/>
    <w:uiPriority w:val="0"/>
    <w:rPr>
      <w:rFonts w:ascii="Calibri" w:hAnsi="Calibri" w:cs="黑体"/>
      <w:kern w:val="2"/>
      <w:sz w:val="21"/>
      <w:szCs w:val="24"/>
    </w:rPr>
  </w:style>
  <w:style w:type="character" w:customStyle="1" w:styleId="14">
    <w:name w:val="批注主题 字符"/>
    <w:basedOn w:val="13"/>
    <w:link w:val="4"/>
    <w:qFormat/>
    <w:uiPriority w:val="0"/>
    <w:rPr>
      <w:rFonts w:ascii="Calibri" w:hAnsi="Calibri" w:cs="黑体"/>
      <w:b/>
      <w:bCs/>
      <w:kern w:val="2"/>
      <w:sz w:val="21"/>
      <w:szCs w:val="24"/>
    </w:rPr>
  </w:style>
  <w:style w:type="character" w:customStyle="1" w:styleId="15">
    <w:name w:val="批注框文本 字符"/>
    <w:basedOn w:val="9"/>
    <w:link w:val="6"/>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THTF\Documents\WeChat%20Files\duanmeimei\FileStorage\File\2021-08\&#24037;&#20316;&#31807;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2"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2"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THTF\Desktop\2020&#24180;&#36130;&#25919;&#37096;&#38376;&#20915;&#31639;&#20844;&#24320;\&#26609;&#29366;&#39292;&#29366;&#22270;\&#39292;&#29366;&#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THTF\Desktop\2020&#24180;&#36130;&#25919;&#37096;&#38376;&#20915;&#31639;&#20844;&#24320;\&#26609;&#29366;&#39292;&#29366;&#22270;\&#39292;&#29366;&#2227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THTF\Desktop\2020&#24180;&#36130;&#25919;&#37096;&#38376;&#20915;&#31639;&#20844;&#24320;\&#26609;&#29366;&#39292;&#29366;&#22270;\2019&#24180;&#21644;2020&#2418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THTF\Desktop\2020&#24180;&#36130;&#25919;&#37096;&#38376;&#20915;&#31639;&#20844;&#24320;\&#26609;&#29366;&#39292;&#29366;&#22270;\2019&#24180;&#21644;2020&#2418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THTF\Desktop\2020&#24180;&#36130;&#25919;&#37096;&#38376;&#20915;&#31639;&#20844;&#24320;\&#26609;&#29366;&#39292;&#29366;&#22270;\&#39292;&#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单位人员情况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[工作簿2.xlsx]Sheet1!$A$1:$B$1</c:f>
              <c:strCache>
                <c:ptCount val="2"/>
                <c:pt idx="0">
                  <c:v>编制人数</c:v>
                </c:pt>
                <c:pt idx="1">
                  <c:v>实有人数</c:v>
                </c:pt>
              </c:strCache>
            </c:strRef>
          </c:cat>
          <c:val>
            <c:numRef>
              <c:f>[工作簿2.xlsx]Sheet1!$A$2:$B$2</c:f>
              <c:numCache>
                <c:formatCode>General</c:formatCode>
                <c:ptCount val="2"/>
                <c:pt idx="0">
                  <c:v>22</c:v>
                </c:pt>
                <c:pt idx="1">
                  <c:v>20</c:v>
                </c:pt>
              </c:numCache>
            </c:numRef>
          </c:val>
        </c:ser>
        <c:dLbls>
          <c:showLegendKey val="0"/>
          <c:showVal val="1"/>
          <c:showCatName val="0"/>
          <c:showSerName val="0"/>
          <c:showPercent val="0"/>
          <c:showBubbleSize val="0"/>
        </c:dLbls>
        <c:gapWidth val="150"/>
        <c:overlap val="0"/>
        <c:axId val="671048625"/>
        <c:axId val="961806844"/>
      </c:barChart>
      <c:catAx>
        <c:axId val="671048625"/>
        <c:scaling>
          <c:orientation val="minMax"/>
        </c:scaling>
        <c:delete val="1"/>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事业编制</a:t>
                </a:r>
              </a:p>
            </c:rich>
          </c:tx>
          <c:layout/>
          <c:overlay val="0"/>
          <c:spPr>
            <a:noFill/>
            <a:ln>
              <a:noFill/>
            </a:ln>
            <a:effectLst/>
          </c:spPr>
        </c:title>
        <c:majorTickMark val="out"/>
        <c:minorTickMark val="none"/>
        <c:tickLblPos val="nextTo"/>
        <c:txPr>
          <a:bodyPr rot="-60000000" spcFirstLastPara="0" vertOverflow="ellipsis" vert="horz" wrap="square" anchor="t" anchorCtr="0"/>
          <a:lstStyle/>
          <a:p>
            <a:pPr>
              <a:defRPr lang="zh-CN" sz="900" b="0" i="0" u="none" strike="noStrike" kern="1200" baseline="0">
                <a:solidFill>
                  <a:schemeClr val="tx1">
                    <a:lumMod val="65000"/>
                    <a:lumOff val="35000"/>
                  </a:schemeClr>
                </a:solidFill>
                <a:latin typeface="+mn-lt"/>
                <a:ea typeface="+mn-ea"/>
                <a:cs typeface="+mn-cs"/>
              </a:defRPr>
            </a:pPr>
          </a:p>
        </c:txPr>
        <c:crossAx val="961806844"/>
        <c:crosses val="autoZero"/>
        <c:auto val="1"/>
        <c:lblAlgn val="ctr"/>
        <c:lblOffset val="100"/>
        <c:noMultiLvlLbl val="0"/>
      </c:catAx>
      <c:valAx>
        <c:axId val="961806844"/>
        <c:scaling>
          <c:orientation val="minMax"/>
          <c:max val="2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104862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[工作簿2]Sheet1!$A$1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[工作簿2]Sheet1!$A$2</c:f>
              <c:numCache>
                <c:formatCode>General</c:formatCode>
                <c:ptCount val="1"/>
                <c:pt idx="0">
                  <c:v>67.25</c:v>
                </c:pt>
              </c:numCache>
            </c:numRef>
          </c:val>
        </c:ser>
        <c:ser>
          <c:idx val="1"/>
          <c:order val="1"/>
          <c:tx>
            <c:strRef>
              <c:f>[工作簿2]Sheet1!$B$1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[工作簿2]Sheet1!$B$2</c:f>
              <c:numCache>
                <c:formatCode>General</c:formatCode>
                <c:ptCount val="1"/>
                <c:pt idx="0">
                  <c:v>75.62</c:v>
                </c:pt>
              </c:numCache>
            </c:numRef>
          </c:val>
        </c:ser>
        <c:dLbls>
          <c:showLegendKey val="0"/>
          <c:showVal val="1"/>
          <c:showCatName val="0"/>
          <c:showSerName val="0"/>
          <c:showPercent val="0"/>
          <c:showBubbleSize val="0"/>
        </c:dLbls>
        <c:gapWidth val="219"/>
        <c:overlap val="-27"/>
        <c:axId val="63373689"/>
        <c:axId val="211060457"/>
      </c:barChart>
      <c:catAx>
        <c:axId val="63373689"/>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060457"/>
        <c:crosses val="autoZero"/>
        <c:auto val="1"/>
        <c:lblAlgn val="ctr"/>
        <c:lblOffset val="100"/>
        <c:noMultiLvlLbl val="0"/>
      </c:catAx>
      <c:valAx>
        <c:axId val="211060457"/>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73689"/>
        <c:crosses val="autoZero"/>
        <c:crossBetween val="between"/>
        <c:majorUnit val="1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[工作簿2]Sheet1!$A$1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[工作簿2]Sheet1!$A$2</c:f>
              <c:numCache>
                <c:formatCode>General</c:formatCode>
                <c:ptCount val="1"/>
                <c:pt idx="0">
                  <c:v>67.25</c:v>
                </c:pt>
              </c:numCache>
            </c:numRef>
          </c:val>
        </c:ser>
        <c:ser>
          <c:idx val="1"/>
          <c:order val="1"/>
          <c:tx>
            <c:strRef>
              <c:f>[工作簿2]Sheet1!$B$1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[工作簿2]Sheet1!$B$2</c:f>
              <c:numCache>
                <c:formatCode>General</c:formatCode>
                <c:ptCount val="1"/>
                <c:pt idx="0">
                  <c:v>75.62</c:v>
                </c:pt>
              </c:numCache>
            </c:numRef>
          </c:val>
        </c:ser>
        <c:dLbls>
          <c:showLegendKey val="0"/>
          <c:showVal val="1"/>
          <c:showCatName val="0"/>
          <c:showSerName val="0"/>
          <c:showPercent val="0"/>
          <c:showBubbleSize val="0"/>
        </c:dLbls>
        <c:gapWidth val="219"/>
        <c:overlap val="-27"/>
        <c:axId val="63373689"/>
        <c:axId val="211060457"/>
      </c:barChart>
      <c:catAx>
        <c:axId val="63373689"/>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060457"/>
        <c:crosses val="autoZero"/>
        <c:auto val="1"/>
        <c:lblAlgn val="ctr"/>
        <c:lblOffset val="100"/>
        <c:noMultiLvlLbl val="0"/>
      </c:catAx>
      <c:valAx>
        <c:axId val="211060457"/>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73689"/>
        <c:crosses val="autoZero"/>
        <c:crossBetween val="between"/>
        <c:majorUnit val="1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[饼状图.xlsx]Sheet1!$A$2</c:f>
              <c:strCache>
                <c:ptCount val="1"/>
                <c:pt idx="0">
                  <c:v>一般公共预算财政拨款收入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{"一般公共预算财政拨款收入"}</c:f>
              <c:strCache>
                <c:ptCount val="1"/>
                <c:pt idx="0">
                  <c:v>一般公共预算财政拨款收入</c:v>
                </c:pt>
              </c:strCache>
            </c:strRef>
          </c:cat>
          <c:val>
            <c:numRef>
              <c:f>[工作簿3]Sheet1!$A$3</c:f>
              <c:numCache>
                <c:formatCode>General</c:formatCode>
                <c:ptCount val="1"/>
                <c:pt idx="0">
                  <c:v>75.62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[饼状图.xlsx]Sheet1!$A$2</c:f>
              <c:strCache>
                <c:ptCount val="1"/>
                <c:pt idx="0">
                  <c:v>一般公共预算财政拨款收入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{"基本支出"}</c:f>
              <c:strCache>
                <c:ptCount val="1"/>
                <c:pt idx="0">
                  <c:v>基本支出</c:v>
                </c:pt>
              </c:strCache>
            </c:strRef>
          </c:cat>
          <c:val>
            <c:numRef>
              <c:f>Sheet1!$A$3</c:f>
              <c:numCache>
                <c:formatCode>General</c:formatCode>
                <c:ptCount val="1"/>
                <c:pt idx="0">
                  <c:v>75.62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[2019年和2020年.xlsx]Sheet1!$A$1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[工作簿2]Sheet1!$A$2</c:f>
              <c:numCache>
                <c:formatCode>General</c:formatCode>
                <c:ptCount val="1"/>
                <c:pt idx="0">
                  <c:v>67.25</c:v>
                </c:pt>
              </c:numCache>
            </c:numRef>
          </c:val>
        </c:ser>
        <c:ser>
          <c:idx val="1"/>
          <c:order val="1"/>
          <c:tx>
            <c:strRef>
              <c:f>[2019年和2020年.xlsx]Sheet1!$B$1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[工作簿2]Sheet1!$B$2</c:f>
              <c:numCache>
                <c:formatCode>General</c:formatCode>
                <c:ptCount val="1"/>
                <c:pt idx="0">
                  <c:v>75.62</c:v>
                </c:pt>
              </c:numCache>
            </c:numRef>
          </c:val>
        </c:ser>
        <c:dLbls>
          <c:showLegendKey val="0"/>
          <c:showVal val="1"/>
          <c:showCatName val="0"/>
          <c:showSerName val="0"/>
          <c:showPercent val="0"/>
          <c:showBubbleSize val="0"/>
        </c:dLbls>
        <c:gapWidth val="219"/>
        <c:overlap val="-27"/>
        <c:axId val="63373689"/>
        <c:axId val="211060457"/>
      </c:barChart>
      <c:catAx>
        <c:axId val="63373689"/>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060457"/>
        <c:crosses val="autoZero"/>
        <c:auto val="1"/>
        <c:lblAlgn val="ctr"/>
        <c:lblOffset val="100"/>
        <c:noMultiLvlLbl val="0"/>
      </c:catAx>
      <c:valAx>
        <c:axId val="211060457"/>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73689"/>
        <c:crosses val="autoZero"/>
        <c:crossBetween val="between"/>
        <c:majorUnit val="1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[2019年和2020年.xlsx]Sheet1!$A$1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[工作簿2]Sheet1!$A$2</c:f>
              <c:numCache>
                <c:formatCode>General</c:formatCode>
                <c:ptCount val="1"/>
                <c:pt idx="0">
                  <c:v>67.25</c:v>
                </c:pt>
              </c:numCache>
            </c:numRef>
          </c:val>
        </c:ser>
        <c:ser>
          <c:idx val="1"/>
          <c:order val="1"/>
          <c:tx>
            <c:strRef>
              <c:f>[2019年和2020年.xlsx]Sheet1!$B$1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[工作簿2]Sheet1!$B$2</c:f>
              <c:numCache>
                <c:formatCode>General</c:formatCode>
                <c:ptCount val="1"/>
                <c:pt idx="0">
                  <c:v>75.62</c:v>
                </c:pt>
              </c:numCache>
            </c:numRef>
          </c:val>
        </c:ser>
        <c:dLbls>
          <c:showLegendKey val="0"/>
          <c:showVal val="1"/>
          <c:showCatName val="0"/>
          <c:showSerName val="0"/>
          <c:showPercent val="0"/>
          <c:showBubbleSize val="0"/>
        </c:dLbls>
        <c:gapWidth val="219"/>
        <c:overlap val="-27"/>
        <c:axId val="63373689"/>
        <c:axId val="211060457"/>
      </c:barChart>
      <c:catAx>
        <c:axId val="63373689"/>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060457"/>
        <c:crosses val="autoZero"/>
        <c:auto val="1"/>
        <c:lblAlgn val="ctr"/>
        <c:lblOffset val="100"/>
        <c:noMultiLvlLbl val="0"/>
      </c:catAx>
      <c:valAx>
        <c:axId val="211060457"/>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73689"/>
        <c:crosses val="autoZero"/>
        <c:crossBetween val="between"/>
        <c:majorUnit val="1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[饼状图.xlsx]Sheet1!$A$2</c:f>
              <c:strCache>
                <c:ptCount val="1"/>
                <c:pt idx="0">
                  <c:v>一般公共预算财政拨款收入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{"一般公共服务支出"}</c:f>
              <c:strCache>
                <c:ptCount val="1"/>
                <c:pt idx="0">
                  <c:v>一般公共服务支出</c:v>
                </c:pt>
              </c:strCache>
            </c:strRef>
          </c:cat>
          <c:val>
            <c:numRef>
              <c:f>[饼状图.xlsx]Sheet1!$A$3</c:f>
              <c:numCache>
                <c:formatCode>General</c:formatCode>
                <c:ptCount val="1"/>
                <c:pt idx="0">
                  <c:v>75.62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1312</Words>
  <Characters>7483</Characters>
  <Lines>62</Lines>
  <Paragraphs>17</Paragraphs>
  <ScaleCrop>false</ScaleCrop>
  <LinksUpToDate>false</LinksUpToDate>
  <CharactersWithSpaces>8778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dmm</cp:lastModifiedBy>
  <cp:lastPrinted>2021-08-24T02:24:52Z</cp:lastPrinted>
  <dcterms:modified xsi:type="dcterms:W3CDTF">2021-08-24T02:38:03Z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9A12013AD27A4DB4B2B93ADD2B4AE959</vt:lpwstr>
  </property>
</Properties>
</file>